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626F37F3" w14:textId="217B48C7" w:rsidR="005C6614" w:rsidRPr="00F2631B" w:rsidRDefault="005C6614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 PROF. PEDRO ELIAS</w:t>
      </w:r>
      <w:r w:rsidR="007E0E64" w:rsidRPr="00F2631B">
        <w:rPr>
          <w:b/>
          <w:bCs/>
          <w:sz w:val="20"/>
          <w:szCs w:val="20"/>
        </w:rPr>
        <w:t xml:space="preserve"> – EM UCHOA</w:t>
      </w:r>
    </w:p>
    <w:p w14:paraId="5FC24CE7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Prof. Pedro Elias, localizada no município de Uchoa/SP,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4F435AE8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C0D1BC6" w14:textId="6473F322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5DEF5D4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42DB8C7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7BA9B41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386E8290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0293AEC0" w14:textId="66036446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7F35C4D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4CCEA53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2EA4C862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</w:p>
    <w:p w14:paraId="02A8212F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070DC9CA" w14:textId="5EF32F8B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 xml:space="preserve">Escola Estadual Prof. Pedro Elias, disponibiliza através deste edital um total de </w:t>
      </w:r>
      <w:r w:rsidRPr="00F2631B">
        <w:rPr>
          <w:rFonts w:eastAsia="Segoe UI"/>
          <w:b/>
          <w:bCs/>
          <w:sz w:val="20"/>
          <w:szCs w:val="20"/>
        </w:rPr>
        <w:t xml:space="preserve">03 </w:t>
      </w:r>
      <w:r w:rsidR="009562D4" w:rsidRPr="00F2631B">
        <w:rPr>
          <w:rFonts w:eastAsia="Segoe UI"/>
          <w:b/>
          <w:bCs/>
          <w:sz w:val="20"/>
          <w:szCs w:val="20"/>
        </w:rPr>
        <w:t xml:space="preserve">(três) </w:t>
      </w:r>
      <w:r w:rsidRPr="00F2631B">
        <w:rPr>
          <w:rFonts w:eastAsia="Segoe UI"/>
          <w:b/>
          <w:bCs/>
          <w:sz w:val="20"/>
          <w:szCs w:val="20"/>
        </w:rPr>
        <w:t>vagas</w:t>
      </w:r>
      <w:r w:rsidRPr="00F2631B">
        <w:rPr>
          <w:rFonts w:eastAsia="Segoe UI"/>
          <w:sz w:val="20"/>
          <w:szCs w:val="20"/>
        </w:rPr>
        <w:t xml:space="preserve"> para contratação de Agente de Organização Escolar.</w:t>
      </w:r>
    </w:p>
    <w:p w14:paraId="23E80544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7030953" w14:textId="7C27F4D2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0A8995CE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5B44B02A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75271B2A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784A0746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4B0613B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432F6D7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0D8705C3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0FF4BEA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3B435BC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22247081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12DC9792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AFCD9D4" w14:textId="171EC79D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013D997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2318B7C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6D555F7F" w14:textId="77777777" w:rsidR="007E0E64" w:rsidRPr="00F2631B" w:rsidRDefault="007E0E64" w:rsidP="00F2631B">
      <w:pPr>
        <w:rPr>
          <w:rFonts w:eastAsia="Segoe UI"/>
          <w:sz w:val="20"/>
          <w:szCs w:val="20"/>
        </w:rPr>
      </w:pPr>
    </w:p>
    <w:p w14:paraId="06505210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5268E114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1C8F935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4B15703D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107FAE01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0D4307AD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6F91C760" w14:textId="77777777" w:rsidR="007E1F1E" w:rsidRPr="00F2631B" w:rsidRDefault="007E1F1E" w:rsidP="00F2631B">
      <w:pPr>
        <w:rPr>
          <w:rFonts w:eastAsia="Segoe UI"/>
          <w:b/>
          <w:bCs/>
          <w:sz w:val="20"/>
          <w:szCs w:val="20"/>
        </w:rPr>
      </w:pPr>
    </w:p>
    <w:p w14:paraId="5F8A2ADF" w14:textId="469AB006" w:rsidR="005C6614" w:rsidRPr="00F2631B" w:rsidRDefault="005C6614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>VI – DA INS</w:t>
      </w:r>
      <w:r w:rsidR="007E1F1E" w:rsidRPr="00F2631B">
        <w:rPr>
          <w:rFonts w:eastAsia="Segoe UI"/>
          <w:b/>
          <w:bCs/>
          <w:sz w:val="20"/>
          <w:szCs w:val="20"/>
        </w:rPr>
        <w:t>C</w:t>
      </w:r>
      <w:r w:rsidRPr="00F2631B">
        <w:rPr>
          <w:rFonts w:eastAsia="Segoe UI"/>
          <w:b/>
          <w:bCs/>
          <w:sz w:val="20"/>
          <w:szCs w:val="20"/>
        </w:rPr>
        <w:t>RIÇÃO</w:t>
      </w:r>
    </w:p>
    <w:p w14:paraId="37935CB3" w14:textId="77777777" w:rsidR="005C6614" w:rsidRPr="00F2631B" w:rsidRDefault="005C6614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que constar no contingente divulgado pela URE dos inscritos no Banco de Talentos, deverá se inscrever, nesta unidade escolar, no período de: </w:t>
      </w:r>
      <w:r w:rsidRPr="00F2631B">
        <w:rPr>
          <w:rFonts w:eastAsia="Segoe UI"/>
          <w:b/>
          <w:bCs/>
          <w:sz w:val="20"/>
          <w:szCs w:val="20"/>
        </w:rPr>
        <w:t>27/05/2026 à 29/05/2026</w:t>
      </w:r>
      <w:r w:rsidRPr="00F2631B">
        <w:rPr>
          <w:rFonts w:eastAsia="Segoe UI"/>
          <w:sz w:val="20"/>
          <w:szCs w:val="20"/>
        </w:rPr>
        <w:t xml:space="preserve"> através de </w:t>
      </w:r>
      <w:r w:rsidRPr="00F2631B">
        <w:rPr>
          <w:rFonts w:eastAsia="Segoe UI"/>
          <w:b/>
          <w:bCs/>
          <w:sz w:val="20"/>
          <w:szCs w:val="20"/>
        </w:rPr>
        <w:t>ficha de inscrição na Unidade Escolar.</w:t>
      </w:r>
    </w:p>
    <w:p w14:paraId="6BAB063E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6FE19F9A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B1B7369" w14:textId="375FC3A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0727326E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05C64AAE" w14:textId="77777777" w:rsidR="005C6614" w:rsidRPr="00F2631B" w:rsidRDefault="005C6614" w:rsidP="00F2631B">
      <w:pPr>
        <w:rPr>
          <w:b/>
          <w:bCs/>
          <w:sz w:val="20"/>
          <w:szCs w:val="20"/>
        </w:rPr>
      </w:pPr>
    </w:p>
    <w:p w14:paraId="232BA8D7" w14:textId="77777777" w:rsidR="005C6614" w:rsidRPr="00F2631B" w:rsidRDefault="005C6614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5CF8F95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Após conferência da inscrição no Banco de Talentos, esta unidade escolar entrará em contato com o(s) candidato(s) para realização da entrevista presencial no dia </w:t>
      </w:r>
      <w:r w:rsidRPr="00F2631B">
        <w:rPr>
          <w:rFonts w:eastAsia="Segoe UI"/>
          <w:b/>
          <w:bCs/>
          <w:sz w:val="20"/>
          <w:szCs w:val="20"/>
        </w:rPr>
        <w:t>01/06/2026</w:t>
      </w:r>
      <w:r w:rsidRPr="00F2631B">
        <w:rPr>
          <w:rFonts w:eastAsia="Segoe UI"/>
          <w:sz w:val="20"/>
          <w:szCs w:val="20"/>
        </w:rPr>
        <w:t xml:space="preserve"> pelo Diretor da Unidade Escolar.</w:t>
      </w:r>
    </w:p>
    <w:p w14:paraId="5CC8A8E5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682C2D7" w14:textId="3DB4D12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7179A771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319851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6DC1E19C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0C0A76FD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383DE9D6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5640009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4D87C36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335F98C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2B61BF4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33DF06B8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5148E133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7ABBE0A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442BC4D8" w14:textId="558A7903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4077206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4711152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3D1C8772" w14:textId="675943D4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2825BC72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4ABB29D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</w:p>
    <w:p w14:paraId="09421C4B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48441946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778A7CD3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16E3A82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23F90900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6B6E9F6" w14:textId="668C006B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223A5DA2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3426CC78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4F7EEF6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53B3647D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2422E4F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69B7354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25F649E7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4845C5B" w14:textId="23DB0FB5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54D7EE4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1FB3FF97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404D6EE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4D27EFD2" w14:textId="77777777" w:rsidR="007E1F1E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6AD8F129" w14:textId="66545AB0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1FA8B326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24881D8" w14:textId="77777777" w:rsidR="005C6614" w:rsidRPr="00F2631B" w:rsidRDefault="005C6614" w:rsidP="00F2631B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281134A2" w14:textId="2B1D3D0F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1506D1"/>
    <w:rsid w:val="001D2000"/>
    <w:rsid w:val="002656DA"/>
    <w:rsid w:val="002B7946"/>
    <w:rsid w:val="0034250C"/>
    <w:rsid w:val="004C31B0"/>
    <w:rsid w:val="004D4742"/>
    <w:rsid w:val="005C6614"/>
    <w:rsid w:val="0063465E"/>
    <w:rsid w:val="0067045B"/>
    <w:rsid w:val="0067491C"/>
    <w:rsid w:val="006C348F"/>
    <w:rsid w:val="007E0E64"/>
    <w:rsid w:val="007E1F1E"/>
    <w:rsid w:val="008D583F"/>
    <w:rsid w:val="008E3BC1"/>
    <w:rsid w:val="009562D4"/>
    <w:rsid w:val="00A30639"/>
    <w:rsid w:val="00A7166B"/>
    <w:rsid w:val="00AC25E4"/>
    <w:rsid w:val="00B9189E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1675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2026-05-27T11:13:00Z</dcterms:created>
  <dcterms:modified xsi:type="dcterms:W3CDTF">2026-05-27T11:28:00Z</dcterms:modified>
</cp:coreProperties>
</file>