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2EF9" w14:textId="77777777" w:rsidR="00E73F5A" w:rsidRDefault="00E73F5A">
      <w:pPr>
        <w:pStyle w:val="Corpodetexto"/>
      </w:pPr>
    </w:p>
    <w:p w14:paraId="705EC000" w14:textId="77777777" w:rsidR="00E73F5A" w:rsidRDefault="00E73F5A">
      <w:pPr>
        <w:pStyle w:val="Corpodetexto"/>
        <w:spacing w:before="30"/>
      </w:pPr>
    </w:p>
    <w:p w14:paraId="7DF8AD04" w14:textId="7A3824BE" w:rsidR="00E73F5A" w:rsidRDefault="00000000">
      <w:pPr>
        <w:pStyle w:val="Corpodetexto"/>
        <w:ind w:left="4742"/>
      </w:pPr>
      <w:r>
        <w:t>Itaquaquecetuba,</w:t>
      </w:r>
      <w:r>
        <w:rPr>
          <w:spacing w:val="-2"/>
        </w:rPr>
        <w:t xml:space="preserve"> </w:t>
      </w:r>
      <w:r w:rsidR="00371C0D">
        <w:t>1</w:t>
      </w:r>
      <w:r w:rsidR="00B62F6F">
        <w:t>6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 w:rsidR="00B62F6F">
        <w:t>setembro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371C0D">
        <w:rPr>
          <w:spacing w:val="-2"/>
        </w:rPr>
        <w:t>5</w:t>
      </w:r>
      <w:r>
        <w:rPr>
          <w:spacing w:val="-2"/>
        </w:rPr>
        <w:t>.</w:t>
      </w:r>
    </w:p>
    <w:p w14:paraId="48127DBF" w14:textId="77777777" w:rsidR="00E73F5A" w:rsidRDefault="00E73F5A">
      <w:pPr>
        <w:pStyle w:val="Corpodetexto"/>
      </w:pPr>
    </w:p>
    <w:p w14:paraId="086ED5A4" w14:textId="77777777" w:rsidR="00E73F5A" w:rsidRDefault="00E73F5A">
      <w:pPr>
        <w:pStyle w:val="Corpodetexto"/>
        <w:spacing w:before="22"/>
      </w:pPr>
    </w:p>
    <w:p w14:paraId="1F06B279" w14:textId="6CD416CC" w:rsidR="00E73F5A" w:rsidRDefault="00000000" w:rsidP="00BD50B8">
      <w:pPr>
        <w:pStyle w:val="Ttulo"/>
        <w:jc w:val="center"/>
      </w:pPr>
      <w:r>
        <w:t>COMUNICADO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ESE</w:t>
      </w:r>
    </w:p>
    <w:p w14:paraId="5EF980C8" w14:textId="77777777" w:rsidR="00E73F5A" w:rsidRDefault="00E73F5A">
      <w:pPr>
        <w:pStyle w:val="Corpodetexto"/>
        <w:spacing w:before="274"/>
        <w:rPr>
          <w:b/>
        </w:rPr>
      </w:pPr>
    </w:p>
    <w:p w14:paraId="24CE54AC" w14:textId="1B4FFF1D" w:rsidR="00E73F5A" w:rsidRDefault="00000000" w:rsidP="00B62F6F">
      <w:pPr>
        <w:pStyle w:val="Corpodetexto"/>
        <w:spacing w:line="360" w:lineRule="auto"/>
      </w:pPr>
      <w:r>
        <w:rPr>
          <w:b/>
        </w:rPr>
        <w:t>Assunto:</w:t>
      </w:r>
      <w:r>
        <w:rPr>
          <w:b/>
          <w:spacing w:val="-9"/>
        </w:rPr>
        <w:t xml:space="preserve"> </w:t>
      </w:r>
      <w:r w:rsidR="00B62F6F">
        <w:rPr>
          <w:b/>
          <w:bCs/>
        </w:rPr>
        <w:t xml:space="preserve">SALA DE LEITURA – </w:t>
      </w:r>
      <w:r w:rsidR="003A5642">
        <w:rPr>
          <w:b/>
          <w:bCs/>
        </w:rPr>
        <w:t xml:space="preserve">ESCOLAS DE </w:t>
      </w:r>
      <w:r w:rsidR="00B62F6F">
        <w:rPr>
          <w:b/>
          <w:bCs/>
        </w:rPr>
        <w:t>TEMPO PARCIAL</w:t>
      </w:r>
    </w:p>
    <w:p w14:paraId="1A930010" w14:textId="77777777" w:rsidR="00E73F5A" w:rsidRDefault="00E73F5A">
      <w:pPr>
        <w:pStyle w:val="Corpodetexto"/>
        <w:spacing w:before="141"/>
      </w:pPr>
    </w:p>
    <w:p w14:paraId="6E27E1FE" w14:textId="77777777" w:rsidR="00B62F6F" w:rsidRDefault="00B62F6F" w:rsidP="00B62F6F">
      <w:pPr>
        <w:pStyle w:val="Corpodetexto"/>
        <w:spacing w:line="360" w:lineRule="auto"/>
      </w:pPr>
      <w:r>
        <w:t>Prezados gestores,</w:t>
      </w:r>
    </w:p>
    <w:p w14:paraId="52ABFF01" w14:textId="3F45226D" w:rsidR="00B62F6F" w:rsidRDefault="00B62F6F" w:rsidP="00B62F6F">
      <w:pPr>
        <w:pStyle w:val="Corpodetexto"/>
        <w:spacing w:line="360" w:lineRule="auto"/>
      </w:pPr>
    </w:p>
    <w:p w14:paraId="2B629F4F" w14:textId="77777777" w:rsidR="00B62F6F" w:rsidRDefault="00B62F6F" w:rsidP="00B62F6F">
      <w:pPr>
        <w:pStyle w:val="Corpodetexto"/>
        <w:spacing w:line="360" w:lineRule="auto"/>
        <w:ind w:firstLine="720"/>
        <w:jc w:val="both"/>
      </w:pPr>
      <w:r>
        <w:t>Com base no art. 29 da Resolução SEDUC 95/2024, o professor articulador do Programa Sala de Leitura nas Unidades Escolares de Tempo parcial perderá as aulas, em caso de licenças e afastamentos, exceto:</w:t>
      </w:r>
    </w:p>
    <w:p w14:paraId="01865A4B" w14:textId="77777777" w:rsidR="00B62F6F" w:rsidRDefault="00B62F6F" w:rsidP="00B62F6F">
      <w:pPr>
        <w:pStyle w:val="Corpodetexto"/>
        <w:spacing w:line="360" w:lineRule="auto"/>
        <w:jc w:val="both"/>
      </w:pPr>
      <w:r w:rsidRPr="00B62F6F">
        <w:rPr>
          <w:b/>
          <w:bCs/>
        </w:rPr>
        <w:t>a)</w:t>
      </w:r>
      <w:r>
        <w:t xml:space="preserve"> os dias de orientação técnica, de designação e acompanhamentos de estudantes nos jogos escolares;</w:t>
      </w:r>
    </w:p>
    <w:p w14:paraId="1A429264" w14:textId="77777777" w:rsidR="00B62F6F" w:rsidRDefault="00B62F6F" w:rsidP="00B62F6F">
      <w:pPr>
        <w:pStyle w:val="Corpodetexto"/>
        <w:spacing w:line="360" w:lineRule="auto"/>
        <w:jc w:val="both"/>
      </w:pPr>
      <w:r w:rsidRPr="00B62F6F">
        <w:rPr>
          <w:b/>
          <w:bCs/>
        </w:rPr>
        <w:t>b)</w:t>
      </w:r>
      <w:r>
        <w:t xml:space="preserve"> nojo;</w:t>
      </w:r>
    </w:p>
    <w:p w14:paraId="06F6C114" w14:textId="77777777" w:rsidR="00B62F6F" w:rsidRDefault="00B62F6F" w:rsidP="00B62F6F">
      <w:pPr>
        <w:pStyle w:val="Corpodetexto"/>
        <w:spacing w:line="360" w:lineRule="auto"/>
        <w:jc w:val="both"/>
      </w:pPr>
      <w:r w:rsidRPr="00B62F6F">
        <w:rPr>
          <w:b/>
          <w:bCs/>
        </w:rPr>
        <w:t>c)</w:t>
      </w:r>
      <w:r>
        <w:t xml:space="preserve"> gala;</w:t>
      </w:r>
    </w:p>
    <w:p w14:paraId="4359C477" w14:textId="77777777" w:rsidR="00B62F6F" w:rsidRDefault="00B62F6F" w:rsidP="00B62F6F">
      <w:pPr>
        <w:pStyle w:val="Corpodetexto"/>
        <w:spacing w:line="360" w:lineRule="auto"/>
        <w:jc w:val="both"/>
      </w:pPr>
      <w:r w:rsidRPr="00B62F6F">
        <w:rPr>
          <w:b/>
          <w:bCs/>
        </w:rPr>
        <w:t>d)</w:t>
      </w:r>
      <w:r>
        <w:t xml:space="preserve"> folga TRE;</w:t>
      </w:r>
    </w:p>
    <w:p w14:paraId="65D2E128" w14:textId="77777777" w:rsidR="00B62F6F" w:rsidRDefault="00B62F6F" w:rsidP="00B62F6F">
      <w:pPr>
        <w:pStyle w:val="Corpodetexto"/>
        <w:spacing w:line="360" w:lineRule="auto"/>
        <w:jc w:val="both"/>
      </w:pPr>
      <w:r w:rsidRPr="00B62F6F">
        <w:rPr>
          <w:b/>
          <w:bCs/>
        </w:rPr>
        <w:t>e)</w:t>
      </w:r>
      <w:r>
        <w:t xml:space="preserve"> licença maternidade, licença paternidade e licença adoção;</w:t>
      </w:r>
    </w:p>
    <w:p w14:paraId="6614AE78" w14:textId="77777777" w:rsidR="00B62F6F" w:rsidRDefault="00B62F6F" w:rsidP="00B62F6F">
      <w:pPr>
        <w:pStyle w:val="Corpodetexto"/>
        <w:spacing w:line="360" w:lineRule="auto"/>
        <w:jc w:val="both"/>
      </w:pPr>
      <w:r w:rsidRPr="00B62F6F">
        <w:rPr>
          <w:b/>
          <w:bCs/>
        </w:rPr>
        <w:t>f)</w:t>
      </w:r>
      <w:r>
        <w:t xml:space="preserve"> falta doação de sangue;</w:t>
      </w:r>
    </w:p>
    <w:p w14:paraId="427623DC" w14:textId="77777777" w:rsidR="00B62F6F" w:rsidRDefault="00B62F6F" w:rsidP="00B62F6F">
      <w:pPr>
        <w:pStyle w:val="Corpodetexto"/>
        <w:spacing w:line="360" w:lineRule="auto"/>
        <w:jc w:val="both"/>
      </w:pPr>
      <w:r w:rsidRPr="00B62F6F">
        <w:rPr>
          <w:b/>
          <w:bCs/>
        </w:rPr>
        <w:t>g)</w:t>
      </w:r>
      <w:r>
        <w:t xml:space="preserve"> convocação do Tribunal de Juri.</w:t>
      </w:r>
    </w:p>
    <w:p w14:paraId="494A88D6" w14:textId="77777777" w:rsidR="00B62F6F" w:rsidRDefault="00B62F6F" w:rsidP="00B62F6F">
      <w:pPr>
        <w:pStyle w:val="Corpodetexto"/>
        <w:spacing w:line="360" w:lineRule="auto"/>
        <w:ind w:firstLine="720"/>
        <w:jc w:val="both"/>
      </w:pPr>
      <w:r>
        <w:t>Importante ressaltar que, docentes titulares de cargo e não efetivos (P, N, F) que no decorrer do ano perder e/ou desistir, por quaisquer motivos, das aulas atribuídas no Programa Sala de Leitura, serão submetidos a redução compulsória para a jornada/carga horária antecedente, de opção, como também, ficando-lhe vedada a atribuição de aulas do Programa Sala de Leitura no decorrer do ano letivo e o subsequente.</w:t>
      </w:r>
    </w:p>
    <w:p w14:paraId="2F154EDF" w14:textId="4612A0D4" w:rsidR="00B62F6F" w:rsidRDefault="00B62F6F" w:rsidP="00B62F6F">
      <w:pPr>
        <w:pStyle w:val="Corpodetexto"/>
        <w:spacing w:line="360" w:lineRule="auto"/>
        <w:jc w:val="both"/>
      </w:pPr>
      <w:r>
        <w:t xml:space="preserve"> </w:t>
      </w:r>
      <w:r>
        <w:tab/>
      </w:r>
      <w:r>
        <w:t>Após monitoramento, observou-se que há diversos docentes ativos em Sala de leitura que já incorreram no descumprimento da legislação e que o superior imediato não tomou as providências no prazo devido, ou seja, imediatamente após o evento. Diante da irregularidade constatada, cabe aos responsáveis corrigir a situação de acordo com a legislação vigente.</w:t>
      </w:r>
    </w:p>
    <w:p w14:paraId="5F7F8F9C" w14:textId="47FFDE2A" w:rsidR="00B62F6F" w:rsidRDefault="00B62F6F" w:rsidP="00B62F6F">
      <w:pPr>
        <w:pStyle w:val="Corpodetexto"/>
        <w:spacing w:line="360" w:lineRule="auto"/>
        <w:ind w:firstLine="720"/>
        <w:jc w:val="both"/>
      </w:pPr>
      <w:r>
        <w:t xml:space="preserve">Diante desse cenário orientamos que sejam verificados os casos nas Unidades </w:t>
      </w:r>
      <w:r>
        <w:t>Escolares</w:t>
      </w:r>
      <w:r>
        <w:t xml:space="preserve"> e providenciadas as devidas correções.</w:t>
      </w:r>
    </w:p>
    <w:p w14:paraId="3BB54244" w14:textId="77777777" w:rsidR="00B62F6F" w:rsidRDefault="00B62F6F" w:rsidP="00B62F6F">
      <w:pPr>
        <w:pStyle w:val="Corpodetexto"/>
        <w:spacing w:line="360" w:lineRule="auto"/>
        <w:ind w:firstLine="720"/>
        <w:jc w:val="both"/>
      </w:pPr>
      <w:r>
        <w:t>A Divisão de Atribuição de Aulas tem enviado notificações para as Unidades Escolares envolvidas, com cópia para os supervisores pontos focais.</w:t>
      </w:r>
    </w:p>
    <w:p w14:paraId="33BC0871" w14:textId="77777777" w:rsidR="00B62F6F" w:rsidRDefault="00B62F6F" w:rsidP="00B62F6F">
      <w:pPr>
        <w:pStyle w:val="Corpodetexto"/>
        <w:spacing w:line="360" w:lineRule="auto"/>
        <w:jc w:val="both"/>
      </w:pPr>
      <w:r>
        <w:t xml:space="preserve"> </w:t>
      </w:r>
    </w:p>
    <w:p w14:paraId="55BC8B20" w14:textId="77777777" w:rsidR="00B62F6F" w:rsidRDefault="00B62F6F" w:rsidP="00B62F6F">
      <w:pPr>
        <w:pStyle w:val="Corpodetexto"/>
        <w:spacing w:line="360" w:lineRule="auto"/>
        <w:jc w:val="both"/>
        <w:rPr>
          <w:b/>
          <w:bCs/>
        </w:rPr>
      </w:pPr>
    </w:p>
    <w:p w14:paraId="4F9C9371" w14:textId="590952DB" w:rsidR="00B62F6F" w:rsidRDefault="00B62F6F" w:rsidP="00B62F6F">
      <w:pPr>
        <w:pStyle w:val="Corpodetexto"/>
        <w:spacing w:line="360" w:lineRule="auto"/>
        <w:jc w:val="both"/>
      </w:pPr>
      <w:r w:rsidRPr="00B62F6F">
        <w:rPr>
          <w:b/>
          <w:bCs/>
        </w:rPr>
        <w:t>Obs:</w:t>
      </w:r>
      <w:r>
        <w:t xml:space="preserve"> no levantamento não são consideradas faltas dia como faltas médicas, justificadas, TRE....</w:t>
      </w:r>
    </w:p>
    <w:p w14:paraId="3A33B05E" w14:textId="3DFAC94D" w:rsidR="00B62F6F" w:rsidRDefault="00B62F6F" w:rsidP="00B62F6F">
      <w:pPr>
        <w:pStyle w:val="Corpodetexto"/>
        <w:spacing w:line="360" w:lineRule="auto"/>
        <w:jc w:val="both"/>
      </w:pPr>
    </w:p>
    <w:p w14:paraId="19EC6579" w14:textId="77777777" w:rsidR="00F14657" w:rsidRDefault="00F14657">
      <w:pPr>
        <w:pStyle w:val="Corpodetexto"/>
        <w:ind w:right="108"/>
        <w:jc w:val="right"/>
        <w:rPr>
          <w:spacing w:val="-2"/>
        </w:rPr>
      </w:pPr>
    </w:p>
    <w:p w14:paraId="449CA7B0" w14:textId="77777777" w:rsidR="00F14657" w:rsidRDefault="00F14657">
      <w:pPr>
        <w:pStyle w:val="Corpodetexto"/>
        <w:ind w:right="108"/>
        <w:jc w:val="right"/>
        <w:rPr>
          <w:spacing w:val="-2"/>
        </w:rPr>
      </w:pPr>
    </w:p>
    <w:p w14:paraId="773738A1" w14:textId="1CFD8323" w:rsidR="00E73F5A" w:rsidRDefault="00000000">
      <w:pPr>
        <w:pStyle w:val="Corpodetexto"/>
        <w:ind w:right="108"/>
        <w:jc w:val="right"/>
      </w:pPr>
      <w:r>
        <w:rPr>
          <w:spacing w:val="-2"/>
        </w:rPr>
        <w:t>Atenciosamente,</w:t>
      </w:r>
    </w:p>
    <w:p w14:paraId="1C8478FE" w14:textId="77777777" w:rsidR="00E73F5A" w:rsidRDefault="00E73F5A">
      <w:pPr>
        <w:pStyle w:val="Corpodetexto"/>
      </w:pPr>
    </w:p>
    <w:p w14:paraId="21226F88" w14:textId="77777777" w:rsidR="00E73F5A" w:rsidRDefault="00E73F5A">
      <w:pPr>
        <w:pStyle w:val="Corpodetexto"/>
        <w:spacing w:before="1"/>
      </w:pPr>
    </w:p>
    <w:p w14:paraId="0B80E50F" w14:textId="20AAF681" w:rsidR="00E73F5A" w:rsidRDefault="00371C0D" w:rsidP="00B62F6F">
      <w:pPr>
        <w:spacing w:line="360" w:lineRule="auto"/>
        <w:ind w:left="5103" w:right="109"/>
        <w:jc w:val="right"/>
        <w:rPr>
          <w:b/>
          <w:i/>
          <w:sz w:val="20"/>
        </w:rPr>
      </w:pPr>
      <w:r>
        <w:rPr>
          <w:spacing w:val="-2"/>
        </w:rPr>
        <w:t xml:space="preserve">    </w:t>
      </w:r>
      <w:r w:rsidR="00000000">
        <w:rPr>
          <w:b/>
          <w:i/>
          <w:sz w:val="20"/>
        </w:rPr>
        <w:t>C</w:t>
      </w:r>
      <w:r w:rsidR="00000000">
        <w:rPr>
          <w:b/>
          <w:i/>
          <w:sz w:val="20"/>
        </w:rPr>
        <w:t>omissão</w:t>
      </w:r>
      <w:r w:rsidR="00000000">
        <w:rPr>
          <w:b/>
          <w:i/>
          <w:spacing w:val="-1"/>
          <w:sz w:val="20"/>
        </w:rPr>
        <w:t xml:space="preserve"> </w:t>
      </w:r>
      <w:r w:rsidR="00000000">
        <w:rPr>
          <w:b/>
          <w:i/>
          <w:sz w:val="20"/>
        </w:rPr>
        <w:t>de</w:t>
      </w:r>
      <w:r w:rsidR="00000000">
        <w:rPr>
          <w:b/>
          <w:i/>
          <w:spacing w:val="-4"/>
          <w:sz w:val="20"/>
        </w:rPr>
        <w:t xml:space="preserve"> </w:t>
      </w:r>
      <w:r w:rsidR="00000000">
        <w:rPr>
          <w:b/>
          <w:i/>
          <w:sz w:val="20"/>
        </w:rPr>
        <w:t>A</w:t>
      </w:r>
      <w:r w:rsidR="00B8785D">
        <w:rPr>
          <w:b/>
          <w:i/>
          <w:sz w:val="20"/>
        </w:rPr>
        <w:t>tribuição de Aulas</w:t>
      </w:r>
      <w:r w:rsidR="00000000">
        <w:rPr>
          <w:b/>
          <w:i/>
          <w:spacing w:val="-1"/>
          <w:sz w:val="20"/>
        </w:rPr>
        <w:t xml:space="preserve"> </w:t>
      </w:r>
      <w:r w:rsidR="00000000">
        <w:rPr>
          <w:b/>
          <w:i/>
          <w:sz w:val="20"/>
        </w:rPr>
        <w:t>-</w:t>
      </w:r>
      <w:r w:rsidR="00000000">
        <w:rPr>
          <w:b/>
          <w:i/>
          <w:spacing w:val="-3"/>
          <w:sz w:val="20"/>
        </w:rPr>
        <w:t xml:space="preserve"> </w:t>
      </w:r>
      <w:r w:rsidR="00000000">
        <w:rPr>
          <w:b/>
          <w:i/>
          <w:spacing w:val="-4"/>
          <w:sz w:val="20"/>
        </w:rPr>
        <w:t>2025</w:t>
      </w:r>
    </w:p>
    <w:p w14:paraId="6AE026C5" w14:textId="77777777" w:rsidR="00E73F5A" w:rsidRDefault="00E73F5A">
      <w:pPr>
        <w:pStyle w:val="Corpodetexto"/>
        <w:spacing w:before="185"/>
        <w:rPr>
          <w:b/>
          <w:i/>
          <w:sz w:val="20"/>
        </w:rPr>
      </w:pPr>
    </w:p>
    <w:p w14:paraId="079D72CE" w14:textId="3A17196A" w:rsidR="00E73F5A" w:rsidRDefault="00E73F5A" w:rsidP="00B8785D">
      <w:pPr>
        <w:ind w:left="5833" w:right="111" w:firstLine="1350"/>
        <w:jc w:val="center"/>
        <w:rPr>
          <w:sz w:val="20"/>
        </w:rPr>
      </w:pPr>
    </w:p>
    <w:sectPr w:rsidR="00E73F5A">
      <w:headerReference w:type="default" r:id="rId7"/>
      <w:pgSz w:w="11910" w:h="16840"/>
      <w:pgMar w:top="2220" w:right="1460" w:bottom="280" w:left="1480" w:header="6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BED67" w14:textId="77777777" w:rsidR="00EC0A26" w:rsidRDefault="00EC0A26">
      <w:r>
        <w:separator/>
      </w:r>
    </w:p>
  </w:endnote>
  <w:endnote w:type="continuationSeparator" w:id="0">
    <w:p w14:paraId="6F9F9A92" w14:textId="77777777" w:rsidR="00EC0A26" w:rsidRDefault="00EC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CC4B" w14:textId="77777777" w:rsidR="00EC0A26" w:rsidRDefault="00EC0A26">
      <w:r>
        <w:separator/>
      </w:r>
    </w:p>
  </w:footnote>
  <w:footnote w:type="continuationSeparator" w:id="0">
    <w:p w14:paraId="541AE1C3" w14:textId="77777777" w:rsidR="00EC0A26" w:rsidRDefault="00EC0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95DA9" w14:textId="77777777" w:rsidR="00E73F5A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4448" behindDoc="1" locked="0" layoutInCell="1" allowOverlap="1" wp14:anchorId="600C1904" wp14:editId="4B289B79">
          <wp:simplePos x="0" y="0"/>
          <wp:positionH relativeFrom="page">
            <wp:posOffset>2035516</wp:posOffset>
          </wp:positionH>
          <wp:positionV relativeFrom="page">
            <wp:posOffset>422841</wp:posOffset>
          </wp:positionV>
          <wp:extent cx="3468013" cy="48218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68013" cy="482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6FE155CF" wp14:editId="32A5D2C5">
              <wp:simplePos x="0" y="0"/>
              <wp:positionH relativeFrom="page">
                <wp:posOffset>2134616</wp:posOffset>
              </wp:positionH>
              <wp:positionV relativeFrom="page">
                <wp:posOffset>1019301</wp:posOffset>
              </wp:positionV>
              <wp:extent cx="3296920" cy="4159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692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93B10D" w14:textId="77777777" w:rsidR="00E73F5A" w:rsidRDefault="00000000">
                          <w:pPr>
                            <w:spacing w:before="12" w:line="206" w:lineRule="exact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DIRETORIA DE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ENSINO - REGIÃO DE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ITAQUAQUECETUBA</w:t>
                          </w:r>
                        </w:p>
                        <w:p w14:paraId="22FBFF44" w14:textId="77777777" w:rsidR="00E73F5A" w:rsidRDefault="00000000">
                          <w:pPr>
                            <w:spacing w:line="242" w:lineRule="auto"/>
                            <w:ind w:left="745" w:right="74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Jundiaí,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84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Monte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Belo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Itaquaquecetuba,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SP E-mail: </w:t>
                          </w:r>
                          <w:hyperlink r:id="rId2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deitq@educacao.sp.gov.br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155C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8.1pt;margin-top:80.25pt;width:259.6pt;height:32.7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" filled="f" stroked="f">
              <v:textbox inset="0,0,0,0">
                <w:txbxContent>
                  <w:p w14:paraId="1E93B10D" w14:textId="77777777" w:rsidR="00E73F5A" w:rsidRDefault="00000000">
                    <w:pPr>
                      <w:spacing w:before="12" w:line="206" w:lineRule="exact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DIRETORIA DE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ENSINO - REGIÃO DE </w:t>
                    </w:r>
                    <w:r>
                      <w:rPr>
                        <w:b/>
                        <w:spacing w:val="-2"/>
                        <w:sz w:val="18"/>
                      </w:rPr>
                      <w:t>ITAQUAQUECETUBA</w:t>
                    </w:r>
                  </w:p>
                  <w:p w14:paraId="22FBFF44" w14:textId="77777777" w:rsidR="00E73F5A" w:rsidRDefault="00000000">
                    <w:pPr>
                      <w:spacing w:line="242" w:lineRule="auto"/>
                      <w:ind w:left="745" w:right="74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Jundiaí,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84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Monte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Belo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Itaquaquecetuba,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SP E-mail: </w:t>
                    </w:r>
                    <w:hyperlink r:id="rId3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deitq@educacao.sp.gov.br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117E"/>
    <w:multiLevelType w:val="hybridMultilevel"/>
    <w:tmpl w:val="87C87950"/>
    <w:lvl w:ilvl="0" w:tplc="90FC7C1E">
      <w:start w:val="1"/>
      <w:numFmt w:val="lowerLetter"/>
      <w:lvlText w:val="%1."/>
      <w:lvlJc w:val="left"/>
      <w:pPr>
        <w:ind w:left="92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49A8994">
      <w:numFmt w:val="bullet"/>
      <w:lvlText w:val="•"/>
      <w:lvlJc w:val="left"/>
      <w:pPr>
        <w:ind w:left="1725" w:hanging="360"/>
      </w:pPr>
      <w:rPr>
        <w:rFonts w:hint="default"/>
        <w:lang w:val="pt-PT" w:eastAsia="en-US" w:bidi="ar-SA"/>
      </w:rPr>
    </w:lvl>
    <w:lvl w:ilvl="2" w:tplc="82906252">
      <w:numFmt w:val="bullet"/>
      <w:lvlText w:val="•"/>
      <w:lvlJc w:val="left"/>
      <w:pPr>
        <w:ind w:left="2530" w:hanging="360"/>
      </w:pPr>
      <w:rPr>
        <w:rFonts w:hint="default"/>
        <w:lang w:val="pt-PT" w:eastAsia="en-US" w:bidi="ar-SA"/>
      </w:rPr>
    </w:lvl>
    <w:lvl w:ilvl="3" w:tplc="814E3280"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plc="D0E81064">
      <w:numFmt w:val="bullet"/>
      <w:lvlText w:val="•"/>
      <w:lvlJc w:val="left"/>
      <w:pPr>
        <w:ind w:left="4140" w:hanging="360"/>
      </w:pPr>
      <w:rPr>
        <w:rFonts w:hint="default"/>
        <w:lang w:val="pt-PT" w:eastAsia="en-US" w:bidi="ar-SA"/>
      </w:rPr>
    </w:lvl>
    <w:lvl w:ilvl="5" w:tplc="2E9ED2BC">
      <w:numFmt w:val="bullet"/>
      <w:lvlText w:val="•"/>
      <w:lvlJc w:val="left"/>
      <w:pPr>
        <w:ind w:left="4945" w:hanging="360"/>
      </w:pPr>
      <w:rPr>
        <w:rFonts w:hint="default"/>
        <w:lang w:val="pt-PT" w:eastAsia="en-US" w:bidi="ar-SA"/>
      </w:rPr>
    </w:lvl>
    <w:lvl w:ilvl="6" w:tplc="13A4D8D8">
      <w:numFmt w:val="bullet"/>
      <w:lvlText w:val="•"/>
      <w:lvlJc w:val="left"/>
      <w:pPr>
        <w:ind w:left="5750" w:hanging="360"/>
      </w:pPr>
      <w:rPr>
        <w:rFonts w:hint="default"/>
        <w:lang w:val="pt-PT" w:eastAsia="en-US" w:bidi="ar-SA"/>
      </w:rPr>
    </w:lvl>
    <w:lvl w:ilvl="7" w:tplc="8D8A698A">
      <w:numFmt w:val="bullet"/>
      <w:lvlText w:val="•"/>
      <w:lvlJc w:val="left"/>
      <w:pPr>
        <w:ind w:left="6555" w:hanging="360"/>
      </w:pPr>
      <w:rPr>
        <w:rFonts w:hint="default"/>
        <w:lang w:val="pt-PT" w:eastAsia="en-US" w:bidi="ar-SA"/>
      </w:rPr>
    </w:lvl>
    <w:lvl w:ilvl="8" w:tplc="4F803CE0">
      <w:numFmt w:val="bullet"/>
      <w:lvlText w:val="•"/>
      <w:lvlJc w:val="left"/>
      <w:pPr>
        <w:ind w:left="7360" w:hanging="360"/>
      </w:pPr>
      <w:rPr>
        <w:rFonts w:hint="default"/>
        <w:lang w:val="pt-PT" w:eastAsia="en-US" w:bidi="ar-SA"/>
      </w:rPr>
    </w:lvl>
  </w:abstractNum>
  <w:num w:numId="1" w16cid:durableId="113162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5A"/>
    <w:rsid w:val="000A6B8A"/>
    <w:rsid w:val="00371C0D"/>
    <w:rsid w:val="003A5642"/>
    <w:rsid w:val="003B2A66"/>
    <w:rsid w:val="005228C3"/>
    <w:rsid w:val="007069BA"/>
    <w:rsid w:val="008B6186"/>
    <w:rsid w:val="009E3419"/>
    <w:rsid w:val="00B62F6F"/>
    <w:rsid w:val="00B8785D"/>
    <w:rsid w:val="00BD50B8"/>
    <w:rsid w:val="00CB2F17"/>
    <w:rsid w:val="00CD54AC"/>
    <w:rsid w:val="00D0204A"/>
    <w:rsid w:val="00D35113"/>
    <w:rsid w:val="00E73F5A"/>
    <w:rsid w:val="00E83582"/>
    <w:rsid w:val="00E91EE3"/>
    <w:rsid w:val="00EC0A26"/>
    <w:rsid w:val="00F14657"/>
    <w:rsid w:val="00FB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D2BF"/>
  <w15:docId w15:val="{1BD36036-C723-40FB-827A-B3622CFA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016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21" w:right="10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196"/>
    </w:pPr>
  </w:style>
  <w:style w:type="character" w:styleId="Hyperlink">
    <w:name w:val="Hyperlink"/>
    <w:basedOn w:val="Fontepargpadro"/>
    <w:uiPriority w:val="99"/>
    <w:unhideWhenUsed/>
    <w:rsid w:val="009E341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3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itq@educacao.sp.gov.br" TargetMode="External"/><Relationship Id="rId2" Type="http://schemas.openxmlformats.org/officeDocument/2006/relationships/hyperlink" Target="mailto:deitq@educacao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Cristina Cruz Martins</dc:creator>
  <cp:lastModifiedBy>Douglas De Oliveira Rodrigues</cp:lastModifiedBy>
  <cp:revision>3</cp:revision>
  <dcterms:created xsi:type="dcterms:W3CDTF">2025-09-16T17:06:00Z</dcterms:created>
  <dcterms:modified xsi:type="dcterms:W3CDTF">2025-09-16T17:06:00Z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2024-12-02T00:00:00Z</vt:filetime>
  </property>
</Properties>
</file>