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10923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087CCD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070786" w14:paraId="0FF3235E" w14:textId="77777777" w:rsidTr="00087CCD">
        <w:trPr>
          <w:trHeight w:val="268"/>
        </w:trPr>
        <w:tc>
          <w:tcPr>
            <w:tcW w:w="2249" w:type="dxa"/>
          </w:tcPr>
          <w:p w14:paraId="375740EE" w14:textId="03D3F751" w:rsidR="00070786" w:rsidRDefault="00070786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2962CCFE" w14:textId="3EAFEC65" w:rsidR="00070786" w:rsidRDefault="00070786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</w:t>
            </w:r>
            <w:r w:rsidR="006413B8">
              <w:rPr>
                <w:spacing w:val="-2"/>
              </w:rPr>
              <w:t xml:space="preserve"> PADRE EMÍLIO IMMOOS</w:t>
            </w:r>
          </w:p>
        </w:tc>
        <w:tc>
          <w:tcPr>
            <w:tcW w:w="1056" w:type="dxa"/>
          </w:tcPr>
          <w:p w14:paraId="4E5F00A4" w14:textId="29CDE472" w:rsidR="00070786" w:rsidRDefault="0037136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DA881A6" w14:textId="4DCBA269" w:rsidR="00070786" w:rsidRDefault="006413B8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348290A0" w14:textId="2BEA705E" w:rsidR="00070786" w:rsidRDefault="00371369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59156A">
              <w:rPr>
                <w:spacing w:val="-2"/>
              </w:rPr>
              <w:t xml:space="preserve"> </w:t>
            </w:r>
            <w:r>
              <w:rPr>
                <w:spacing w:val="-2"/>
              </w:rPr>
              <w:t>FUNDAME</w:t>
            </w:r>
            <w:r w:rsidR="00AE05BE">
              <w:rPr>
                <w:spacing w:val="-2"/>
              </w:rPr>
              <w:t>NTAL</w:t>
            </w:r>
          </w:p>
        </w:tc>
      </w:tr>
      <w:tr w:rsidR="00EA6FAF" w14:paraId="7C190396" w14:textId="77777777" w:rsidTr="00087CCD">
        <w:trPr>
          <w:trHeight w:val="268"/>
        </w:trPr>
        <w:tc>
          <w:tcPr>
            <w:tcW w:w="2249" w:type="dxa"/>
          </w:tcPr>
          <w:p w14:paraId="2F173839" w14:textId="389FF186" w:rsidR="00EA6FAF" w:rsidRDefault="00EA6FAF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CERQUEIRA CÉSAR</w:t>
            </w:r>
          </w:p>
        </w:tc>
        <w:tc>
          <w:tcPr>
            <w:tcW w:w="2163" w:type="dxa"/>
          </w:tcPr>
          <w:p w14:paraId="28D4A266" w14:textId="4785F1C2" w:rsidR="00EA6FAF" w:rsidRDefault="00EA6FAF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JOSÉ LEITE PINHEIRO</w:t>
            </w:r>
          </w:p>
        </w:tc>
        <w:tc>
          <w:tcPr>
            <w:tcW w:w="1056" w:type="dxa"/>
          </w:tcPr>
          <w:p w14:paraId="0066E5AC" w14:textId="0D16C2BB" w:rsidR="00EA6FAF" w:rsidRDefault="00EA6FAF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3569" w:type="dxa"/>
          </w:tcPr>
          <w:p w14:paraId="068596F5" w14:textId="16B9E083" w:rsidR="00EA6FAF" w:rsidRDefault="00EA6FAF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4DFCF392" w14:textId="11941264" w:rsidR="00EA6FAF" w:rsidRDefault="00EA6FAF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MÉDIO</w:t>
            </w:r>
          </w:p>
        </w:tc>
      </w:tr>
      <w:tr w:rsidR="00AE05BE" w14:paraId="013C9EAD" w14:textId="77777777" w:rsidTr="00087CCD">
        <w:trPr>
          <w:trHeight w:val="268"/>
        </w:trPr>
        <w:tc>
          <w:tcPr>
            <w:tcW w:w="2249" w:type="dxa"/>
          </w:tcPr>
          <w:p w14:paraId="3BCEF272" w14:textId="4E46A801" w:rsidR="00AE05BE" w:rsidRDefault="00AE05BE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ITAÍ</w:t>
            </w:r>
          </w:p>
        </w:tc>
        <w:tc>
          <w:tcPr>
            <w:tcW w:w="2163" w:type="dxa"/>
          </w:tcPr>
          <w:p w14:paraId="0D37D429" w14:textId="22BFC785" w:rsidR="00AE05BE" w:rsidRDefault="005D0AF9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PROFª SANDRA AP. DE ARAÚJO</w:t>
            </w:r>
          </w:p>
        </w:tc>
        <w:tc>
          <w:tcPr>
            <w:tcW w:w="1056" w:type="dxa"/>
          </w:tcPr>
          <w:p w14:paraId="31D2ED15" w14:textId="28105AE6" w:rsidR="00AE05BE" w:rsidRDefault="005D0AF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03DDFD59" w14:textId="77C5D748" w:rsidR="00AE05BE" w:rsidRDefault="005D0AF9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GEOGRAFIA</w:t>
            </w:r>
          </w:p>
        </w:tc>
        <w:tc>
          <w:tcPr>
            <w:tcW w:w="1886" w:type="dxa"/>
          </w:tcPr>
          <w:p w14:paraId="764CF414" w14:textId="3915927B" w:rsidR="00AE05BE" w:rsidRDefault="002D69F6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2D69F6" w14:paraId="6825CF15" w14:textId="77777777" w:rsidTr="00087CCD">
        <w:trPr>
          <w:trHeight w:val="268"/>
        </w:trPr>
        <w:tc>
          <w:tcPr>
            <w:tcW w:w="2249" w:type="dxa"/>
          </w:tcPr>
          <w:p w14:paraId="0DEEC3D6" w14:textId="303A19D0" w:rsidR="002D69F6" w:rsidRDefault="00DF319B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TAQUARITUBA</w:t>
            </w:r>
          </w:p>
        </w:tc>
        <w:tc>
          <w:tcPr>
            <w:tcW w:w="2163" w:type="dxa"/>
          </w:tcPr>
          <w:p w14:paraId="1BDBAE6E" w14:textId="6358C7D5" w:rsidR="002D69F6" w:rsidRDefault="00DF319B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</w:t>
            </w:r>
            <w:r w:rsidR="00275F79">
              <w:rPr>
                <w:spacing w:val="-2"/>
              </w:rPr>
              <w:t>.E. PROF. GUIDO</w:t>
            </w:r>
            <w:r w:rsidR="00D61982">
              <w:rPr>
                <w:spacing w:val="-2"/>
              </w:rPr>
              <w:t xml:space="preserve"> D</w:t>
            </w:r>
            <w:r w:rsidR="00A17D11">
              <w:rPr>
                <w:spacing w:val="-2"/>
              </w:rPr>
              <w:t>IAS</w:t>
            </w:r>
            <w:r w:rsidR="00275F79">
              <w:rPr>
                <w:spacing w:val="-2"/>
              </w:rPr>
              <w:t xml:space="preserve"> </w:t>
            </w:r>
            <w:r w:rsidR="00D61982">
              <w:rPr>
                <w:spacing w:val="-2"/>
              </w:rPr>
              <w:t>DE ALMEIDA</w:t>
            </w:r>
          </w:p>
        </w:tc>
        <w:tc>
          <w:tcPr>
            <w:tcW w:w="1056" w:type="dxa"/>
          </w:tcPr>
          <w:p w14:paraId="55BF6297" w14:textId="0C10DCF3" w:rsidR="002D69F6" w:rsidRDefault="00D61982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A361046" w14:textId="6BCEABCB" w:rsidR="002D69F6" w:rsidRDefault="00A17D11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771B29F7" w14:textId="6024FA06" w:rsidR="002D69F6" w:rsidRDefault="00A17D11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3F6AC9DF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087CCD">
        <w:rPr>
          <w:rFonts w:ascii="Arial" w:hAnsi="Arial"/>
          <w:b/>
          <w:color w:val="444444"/>
          <w:sz w:val="21"/>
        </w:rPr>
        <w:t>2</w:t>
      </w:r>
      <w:r w:rsidR="00AF68A3">
        <w:rPr>
          <w:rFonts w:ascii="Arial" w:hAnsi="Arial"/>
          <w:b/>
          <w:color w:val="444444"/>
          <w:sz w:val="21"/>
        </w:rPr>
        <w:t>9</w:t>
      </w:r>
      <w:r>
        <w:rPr>
          <w:rFonts w:ascii="Arial" w:hAnsi="Arial"/>
          <w:b/>
          <w:color w:val="444444"/>
          <w:sz w:val="21"/>
        </w:rPr>
        <w:t>/08/2025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A323DD">
        <w:rPr>
          <w:rFonts w:ascii="Arial" w:hAnsi="Arial"/>
          <w:b/>
          <w:color w:val="444444"/>
          <w:sz w:val="21"/>
        </w:rPr>
        <w:t>6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 w:rsidR="00A323DD">
        <w:rPr>
          <w:rFonts w:ascii="Arial" w:hAnsi="Arial"/>
          <w:b/>
          <w:color w:val="444444"/>
          <w:spacing w:val="-14"/>
          <w:sz w:val="21"/>
        </w:rPr>
        <w:t xml:space="preserve"> -</w:t>
      </w:r>
      <w:r w:rsidR="001477C3"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FEA0" w14:textId="77777777" w:rsidR="008D3229" w:rsidRDefault="008D3229">
      <w:r>
        <w:separator/>
      </w:r>
    </w:p>
  </w:endnote>
  <w:endnote w:type="continuationSeparator" w:id="0">
    <w:p w14:paraId="321D4AEC" w14:textId="77777777" w:rsidR="008D3229" w:rsidRDefault="008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4A4F" w14:textId="77777777" w:rsidR="008D3229" w:rsidRDefault="008D3229">
      <w:r>
        <w:separator/>
      </w:r>
    </w:p>
  </w:footnote>
  <w:footnote w:type="continuationSeparator" w:id="0">
    <w:p w14:paraId="31563F08" w14:textId="77777777" w:rsidR="008D3229" w:rsidRDefault="008D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87CCD"/>
    <w:rsid w:val="000F44E7"/>
    <w:rsid w:val="00131A59"/>
    <w:rsid w:val="0013204D"/>
    <w:rsid w:val="001477C3"/>
    <w:rsid w:val="00150892"/>
    <w:rsid w:val="0016209B"/>
    <w:rsid w:val="00183940"/>
    <w:rsid w:val="001D5F29"/>
    <w:rsid w:val="001F6759"/>
    <w:rsid w:val="00264038"/>
    <w:rsid w:val="00275F79"/>
    <w:rsid w:val="002D69F6"/>
    <w:rsid w:val="002F6614"/>
    <w:rsid w:val="00371369"/>
    <w:rsid w:val="00381139"/>
    <w:rsid w:val="003A3FEC"/>
    <w:rsid w:val="004154FB"/>
    <w:rsid w:val="0042221B"/>
    <w:rsid w:val="0046020D"/>
    <w:rsid w:val="004604AE"/>
    <w:rsid w:val="004804A7"/>
    <w:rsid w:val="00484FF7"/>
    <w:rsid w:val="004D0869"/>
    <w:rsid w:val="004D233E"/>
    <w:rsid w:val="004F19B8"/>
    <w:rsid w:val="0050019E"/>
    <w:rsid w:val="00503245"/>
    <w:rsid w:val="00521368"/>
    <w:rsid w:val="00570CFA"/>
    <w:rsid w:val="0059156A"/>
    <w:rsid w:val="00593FA3"/>
    <w:rsid w:val="005B087D"/>
    <w:rsid w:val="005B1C54"/>
    <w:rsid w:val="005D0AF9"/>
    <w:rsid w:val="005D5BA9"/>
    <w:rsid w:val="005E2052"/>
    <w:rsid w:val="00614310"/>
    <w:rsid w:val="006164DF"/>
    <w:rsid w:val="006413B8"/>
    <w:rsid w:val="00644E7F"/>
    <w:rsid w:val="0067721A"/>
    <w:rsid w:val="006D5133"/>
    <w:rsid w:val="00715FC1"/>
    <w:rsid w:val="007319B0"/>
    <w:rsid w:val="00743BE0"/>
    <w:rsid w:val="00765C39"/>
    <w:rsid w:val="007706E9"/>
    <w:rsid w:val="00774DFF"/>
    <w:rsid w:val="0077573A"/>
    <w:rsid w:val="00793C24"/>
    <w:rsid w:val="007A5EFC"/>
    <w:rsid w:val="007D2F5F"/>
    <w:rsid w:val="007E4BD2"/>
    <w:rsid w:val="007E5A28"/>
    <w:rsid w:val="007E6046"/>
    <w:rsid w:val="007E6C4C"/>
    <w:rsid w:val="0081204D"/>
    <w:rsid w:val="008378F1"/>
    <w:rsid w:val="00892398"/>
    <w:rsid w:val="008B6545"/>
    <w:rsid w:val="008B6B9A"/>
    <w:rsid w:val="008C63F2"/>
    <w:rsid w:val="008D3229"/>
    <w:rsid w:val="008F40BE"/>
    <w:rsid w:val="00901129"/>
    <w:rsid w:val="00921CED"/>
    <w:rsid w:val="00942E68"/>
    <w:rsid w:val="009C3C41"/>
    <w:rsid w:val="009D143A"/>
    <w:rsid w:val="009E7DCF"/>
    <w:rsid w:val="00A17D11"/>
    <w:rsid w:val="00A323DD"/>
    <w:rsid w:val="00AA2D41"/>
    <w:rsid w:val="00AE05BE"/>
    <w:rsid w:val="00AE2FFA"/>
    <w:rsid w:val="00AF68A3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CD72A6"/>
    <w:rsid w:val="00D22FFC"/>
    <w:rsid w:val="00D44EA6"/>
    <w:rsid w:val="00D61982"/>
    <w:rsid w:val="00D63F71"/>
    <w:rsid w:val="00D978A4"/>
    <w:rsid w:val="00DB6BE0"/>
    <w:rsid w:val="00DF1C7B"/>
    <w:rsid w:val="00DF319B"/>
    <w:rsid w:val="00E219B8"/>
    <w:rsid w:val="00E22751"/>
    <w:rsid w:val="00E6064A"/>
    <w:rsid w:val="00E9056D"/>
    <w:rsid w:val="00E94BBA"/>
    <w:rsid w:val="00E94D6C"/>
    <w:rsid w:val="00EA6FAF"/>
    <w:rsid w:val="00EC37DA"/>
    <w:rsid w:val="00F27C25"/>
    <w:rsid w:val="00F335DD"/>
    <w:rsid w:val="00F61FF2"/>
    <w:rsid w:val="00F749D3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15</cp:revision>
  <cp:lastPrinted>2024-12-02T13:39:00Z</cp:lastPrinted>
  <dcterms:created xsi:type="dcterms:W3CDTF">2025-08-27T19:44:00Z</dcterms:created>
  <dcterms:modified xsi:type="dcterms:W3CDTF">2025-08-27T19:52:00Z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