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976A" w14:textId="77777777" w:rsidR="002B2DCD" w:rsidRPr="00F93C12" w:rsidRDefault="00B65DA3" w:rsidP="002B2DCD">
      <w:pPr>
        <w:spacing w:before="100" w:beforeAutospacing="1" w:line="360" w:lineRule="atLeast"/>
        <w:jc w:val="center"/>
        <w:rPr>
          <w:rFonts w:cs="Arial"/>
          <w:b/>
          <w:color w:val="333333"/>
          <w:szCs w:val="28"/>
        </w:rPr>
      </w:pPr>
      <w:r>
        <w:rPr>
          <w:rFonts w:cs="Arial"/>
          <w:b/>
          <w:color w:val="333333"/>
          <w:szCs w:val="28"/>
        </w:rPr>
        <w:t xml:space="preserve">SOLICITAÇÃO </w:t>
      </w:r>
      <w:r w:rsidR="00B96CAD" w:rsidRPr="00F93C12">
        <w:rPr>
          <w:rFonts w:cs="Arial"/>
          <w:b/>
          <w:color w:val="333333"/>
          <w:szCs w:val="28"/>
        </w:rPr>
        <w:t>DECL</w:t>
      </w:r>
      <w:r w:rsidR="00E650E1" w:rsidRPr="00F93C12">
        <w:rPr>
          <w:rFonts w:cs="Arial"/>
          <w:b/>
          <w:color w:val="333333"/>
          <w:szCs w:val="28"/>
        </w:rPr>
        <w:t>A</w:t>
      </w:r>
      <w:r w:rsidR="00B96CAD" w:rsidRPr="00F93C12">
        <w:rPr>
          <w:rFonts w:cs="Arial"/>
          <w:b/>
          <w:color w:val="333333"/>
          <w:szCs w:val="28"/>
        </w:rPr>
        <w:t>RAÇÃO DE ESCOLA AUTORIZADA</w:t>
      </w:r>
    </w:p>
    <w:p w14:paraId="7758AB46" w14:textId="77777777" w:rsidR="004372A2" w:rsidRPr="00F93C12" w:rsidRDefault="004372A2">
      <w:pPr>
        <w:pStyle w:val="Corpodetexto"/>
        <w:rPr>
          <w:rFonts w:cs="Arial"/>
        </w:rPr>
      </w:pPr>
    </w:p>
    <w:p w14:paraId="1FAFA0AE" w14:textId="77777777" w:rsidR="00B14339" w:rsidRPr="00F93C12" w:rsidRDefault="00B14339">
      <w:pPr>
        <w:pStyle w:val="Corpodetexto2"/>
        <w:rPr>
          <w:rFonts w:cs="Arial"/>
          <w:sz w:val="24"/>
        </w:rPr>
      </w:pPr>
    </w:p>
    <w:p w14:paraId="2FB3FD9E" w14:textId="18144365" w:rsidR="00F55AB6" w:rsidRPr="00332C62" w:rsidRDefault="004B1874" w:rsidP="00332C62">
      <w:pPr>
        <w:pStyle w:val="Corpodetexto2"/>
        <w:ind w:firstLine="708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O Interessado deverá </w:t>
      </w:r>
      <w:r w:rsidR="00AC276F">
        <w:rPr>
          <w:rFonts w:cs="Arial"/>
          <w:sz w:val="20"/>
          <w:szCs w:val="20"/>
        </w:rPr>
        <w:t xml:space="preserve">procurar o órgão de ensino do emissor do documento escolar que consta no cabeçalho e quando for </w:t>
      </w:r>
      <w:r w:rsidR="001C1357">
        <w:rPr>
          <w:rFonts w:cs="Arial"/>
          <w:sz w:val="20"/>
          <w:szCs w:val="20"/>
        </w:rPr>
        <w:t>unidade escolar d</w:t>
      </w:r>
      <w:r w:rsidR="00AC276F">
        <w:rPr>
          <w:rFonts w:cs="Arial"/>
          <w:sz w:val="20"/>
          <w:szCs w:val="20"/>
        </w:rPr>
        <w:t xml:space="preserve">a </w:t>
      </w:r>
      <w:r w:rsidR="001C1357">
        <w:rPr>
          <w:rFonts w:cs="Arial"/>
          <w:sz w:val="20"/>
          <w:szCs w:val="20"/>
        </w:rPr>
        <w:t xml:space="preserve">jurisdição da Unidade Regional de Ensino </w:t>
      </w:r>
      <w:r w:rsidR="00F65B0D">
        <w:rPr>
          <w:rFonts w:cs="Arial"/>
          <w:sz w:val="20"/>
          <w:szCs w:val="20"/>
        </w:rPr>
        <w:t>de Osasco</w:t>
      </w:r>
      <w:r w:rsidR="001C1357">
        <w:rPr>
          <w:rFonts w:cs="Arial"/>
          <w:sz w:val="20"/>
          <w:szCs w:val="20"/>
        </w:rPr>
        <w:t>,</w:t>
      </w:r>
      <w:r w:rsidR="00F65B0D">
        <w:rPr>
          <w:rFonts w:cs="Arial"/>
          <w:sz w:val="20"/>
          <w:szCs w:val="20"/>
        </w:rPr>
        <w:t xml:space="preserve"> </w:t>
      </w:r>
      <w:r w:rsidR="00AC276F">
        <w:rPr>
          <w:rFonts w:cs="Arial"/>
          <w:sz w:val="20"/>
          <w:szCs w:val="20"/>
        </w:rPr>
        <w:t xml:space="preserve">deverá </w:t>
      </w:r>
      <w:r w:rsidRPr="00332C62">
        <w:rPr>
          <w:rFonts w:cs="Arial"/>
          <w:sz w:val="20"/>
          <w:szCs w:val="20"/>
        </w:rPr>
        <w:t>solicitar a próprio punho a declaração requerendo informação sobre a escola autorizada ou não</w:t>
      </w:r>
      <w:r w:rsidR="001A412F" w:rsidRPr="00332C62">
        <w:rPr>
          <w:rFonts w:cs="Arial"/>
          <w:sz w:val="20"/>
          <w:szCs w:val="20"/>
        </w:rPr>
        <w:t>,</w:t>
      </w:r>
      <w:r w:rsidRPr="00332C62">
        <w:rPr>
          <w:rFonts w:cs="Arial"/>
          <w:sz w:val="20"/>
          <w:szCs w:val="20"/>
        </w:rPr>
        <w:t xml:space="preserve"> conforme modelo a seguir:</w:t>
      </w:r>
    </w:p>
    <w:p w14:paraId="2715580A" w14:textId="77777777" w:rsidR="004B1874" w:rsidRPr="00332C62" w:rsidRDefault="004B1874" w:rsidP="00332C62">
      <w:pPr>
        <w:pStyle w:val="Corpodetexto2"/>
        <w:rPr>
          <w:rFonts w:cs="Arial"/>
          <w:sz w:val="20"/>
          <w:szCs w:val="20"/>
        </w:rPr>
      </w:pPr>
    </w:p>
    <w:p w14:paraId="78DF2F9A" w14:textId="77777777" w:rsidR="001A412F" w:rsidRPr="00332C62" w:rsidRDefault="001A412F" w:rsidP="00332C62">
      <w:pPr>
        <w:pStyle w:val="Corpodetexto2"/>
        <w:ind w:firstLine="708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  <w:u w:val="single"/>
        </w:rPr>
        <w:t>(nome)</w:t>
      </w:r>
      <w:r w:rsidRPr="00332C62">
        <w:rPr>
          <w:rFonts w:cs="Arial"/>
          <w:sz w:val="20"/>
          <w:szCs w:val="20"/>
        </w:rPr>
        <w:t>______________________, RG.__________________</w:t>
      </w:r>
      <w:r w:rsidRPr="00332C62">
        <w:rPr>
          <w:rFonts w:cs="Arial"/>
          <w:i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 xml:space="preserve">requer a Vossa Senhoria </w:t>
      </w:r>
      <w:r w:rsidR="00B9284F" w:rsidRPr="00332C62">
        <w:rPr>
          <w:rFonts w:cs="Arial"/>
          <w:sz w:val="20"/>
          <w:szCs w:val="20"/>
        </w:rPr>
        <w:t xml:space="preserve">informação referente </w:t>
      </w:r>
      <w:r w:rsidR="00F04FE7" w:rsidRPr="00332C62">
        <w:rPr>
          <w:rFonts w:cs="Arial"/>
          <w:sz w:val="20"/>
          <w:szCs w:val="20"/>
        </w:rPr>
        <w:t xml:space="preserve">a autorização da </w:t>
      </w:r>
      <w:r w:rsidR="00F04FE7" w:rsidRPr="00332C62">
        <w:rPr>
          <w:rFonts w:cs="Arial"/>
          <w:sz w:val="20"/>
          <w:szCs w:val="20"/>
          <w:u w:val="single"/>
        </w:rPr>
        <w:t>(escola)</w:t>
      </w:r>
      <w:r w:rsidR="00F04FE7" w:rsidRPr="00332C62">
        <w:rPr>
          <w:rFonts w:cs="Arial"/>
          <w:sz w:val="20"/>
          <w:szCs w:val="20"/>
        </w:rPr>
        <w:t>________________</w:t>
      </w:r>
      <w:r w:rsidRPr="00332C62">
        <w:rPr>
          <w:rFonts w:cs="Arial"/>
          <w:sz w:val="20"/>
          <w:szCs w:val="20"/>
        </w:rPr>
        <w:t xml:space="preserve">, </w:t>
      </w:r>
      <w:r w:rsidR="00F04FE7" w:rsidRPr="00332C62">
        <w:rPr>
          <w:rFonts w:cs="Arial"/>
          <w:sz w:val="20"/>
          <w:szCs w:val="20"/>
        </w:rPr>
        <w:t>do curso de _______________no endereço Rua/Av.__________________, nº____, Bairro________, Osasco/SP</w:t>
      </w:r>
      <w:r w:rsidR="00B9284F" w:rsidRPr="00332C62">
        <w:rPr>
          <w:rFonts w:cs="Arial"/>
          <w:sz w:val="20"/>
          <w:szCs w:val="20"/>
        </w:rPr>
        <w:t>.</w:t>
      </w:r>
      <w:r w:rsidR="00F04FE7" w:rsidRPr="00332C62">
        <w:rPr>
          <w:rFonts w:cs="Arial"/>
          <w:sz w:val="20"/>
          <w:szCs w:val="20"/>
        </w:rPr>
        <w:t xml:space="preserve"> </w:t>
      </w:r>
    </w:p>
    <w:p w14:paraId="25321B16" w14:textId="77777777" w:rsidR="001A412F" w:rsidRPr="00332C62" w:rsidRDefault="001A412F" w:rsidP="00332C62">
      <w:pPr>
        <w:pStyle w:val="Corpodetexto2"/>
        <w:ind w:firstLine="708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Nestes termos</w:t>
      </w:r>
    </w:p>
    <w:p w14:paraId="0E45E374" w14:textId="77777777" w:rsidR="001A412F" w:rsidRPr="00332C62" w:rsidRDefault="001A412F" w:rsidP="00332C62">
      <w:pPr>
        <w:pStyle w:val="Corpodetexto2"/>
        <w:ind w:firstLine="708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Pede Deferimento</w:t>
      </w:r>
    </w:p>
    <w:p w14:paraId="2A337F0E" w14:textId="77777777" w:rsidR="001A412F" w:rsidRPr="00332C62" w:rsidRDefault="001A412F" w:rsidP="00332C62">
      <w:pPr>
        <w:pStyle w:val="Corpodetexto2"/>
        <w:rPr>
          <w:rFonts w:cs="Arial"/>
          <w:sz w:val="20"/>
          <w:szCs w:val="20"/>
        </w:rPr>
      </w:pPr>
    </w:p>
    <w:p w14:paraId="149E127B" w14:textId="77777777" w:rsidR="001A412F" w:rsidRPr="00332C62" w:rsidRDefault="001A412F" w:rsidP="00332C62">
      <w:pPr>
        <w:pStyle w:val="Corpodetexto2"/>
        <w:jc w:val="right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Osasco, _____ de _________________de 20____.</w:t>
      </w:r>
    </w:p>
    <w:p w14:paraId="0F37BCB9" w14:textId="77777777" w:rsidR="001A412F" w:rsidRPr="00332C62" w:rsidRDefault="001A412F" w:rsidP="00332C62">
      <w:pPr>
        <w:pStyle w:val="Corpodetexto2"/>
        <w:jc w:val="right"/>
        <w:rPr>
          <w:rFonts w:cs="Arial"/>
          <w:sz w:val="20"/>
          <w:szCs w:val="20"/>
        </w:rPr>
      </w:pPr>
    </w:p>
    <w:p w14:paraId="684FB5FC" w14:textId="77777777" w:rsidR="001A412F" w:rsidRPr="00332C62" w:rsidRDefault="001A412F" w:rsidP="00332C62">
      <w:pPr>
        <w:pStyle w:val="Corpodetexto2"/>
        <w:jc w:val="right"/>
        <w:rPr>
          <w:rFonts w:cs="Arial"/>
          <w:sz w:val="20"/>
          <w:szCs w:val="20"/>
        </w:rPr>
      </w:pPr>
    </w:p>
    <w:p w14:paraId="550567E7" w14:textId="77777777" w:rsidR="001A412F" w:rsidRPr="00332C62" w:rsidRDefault="001A412F" w:rsidP="00332C62">
      <w:pPr>
        <w:pStyle w:val="Corpodetexto2"/>
        <w:jc w:val="right"/>
        <w:rPr>
          <w:rFonts w:cs="Arial"/>
          <w:i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                                    _______________________________________</w:t>
      </w:r>
    </w:p>
    <w:p w14:paraId="4B6FDD36" w14:textId="77777777" w:rsidR="001A412F" w:rsidRPr="00332C62" w:rsidRDefault="001A412F" w:rsidP="00332C62">
      <w:pPr>
        <w:pStyle w:val="Corpodetexto2"/>
        <w:jc w:val="right"/>
        <w:rPr>
          <w:rFonts w:cs="Arial"/>
          <w:i/>
          <w:sz w:val="20"/>
          <w:szCs w:val="20"/>
        </w:rPr>
      </w:pPr>
      <w:r w:rsidRPr="00332C62">
        <w:rPr>
          <w:rFonts w:cs="Arial"/>
          <w:i/>
          <w:sz w:val="20"/>
          <w:szCs w:val="20"/>
        </w:rPr>
        <w:t xml:space="preserve">(assinatura do </w:t>
      </w:r>
      <w:r w:rsidR="006528C7" w:rsidRPr="00332C62">
        <w:rPr>
          <w:rFonts w:cs="Arial"/>
          <w:i/>
          <w:sz w:val="20"/>
          <w:szCs w:val="20"/>
        </w:rPr>
        <w:t>interessado</w:t>
      </w:r>
      <w:r w:rsidRPr="00332C62">
        <w:rPr>
          <w:rFonts w:cs="Arial"/>
          <w:i/>
          <w:sz w:val="20"/>
          <w:szCs w:val="20"/>
        </w:rPr>
        <w:t>)</w:t>
      </w:r>
    </w:p>
    <w:p w14:paraId="1D8647B9" w14:textId="77777777" w:rsidR="006528C7" w:rsidRPr="00332C62" w:rsidRDefault="006528C7" w:rsidP="00332C62">
      <w:pPr>
        <w:pStyle w:val="Corpodetexto2"/>
        <w:jc w:val="right"/>
        <w:rPr>
          <w:rFonts w:cs="Arial"/>
          <w:i/>
          <w:sz w:val="20"/>
          <w:szCs w:val="20"/>
        </w:rPr>
      </w:pPr>
      <w:r w:rsidRPr="00332C62">
        <w:rPr>
          <w:rFonts w:cs="Arial"/>
          <w:i/>
          <w:sz w:val="20"/>
          <w:szCs w:val="20"/>
        </w:rPr>
        <w:t>Telefone/Celular</w:t>
      </w:r>
    </w:p>
    <w:p w14:paraId="437A3549" w14:textId="77777777" w:rsidR="006528C7" w:rsidRPr="00332C62" w:rsidRDefault="006528C7" w:rsidP="00332C62">
      <w:pPr>
        <w:pStyle w:val="Corpodetexto2"/>
        <w:jc w:val="right"/>
        <w:rPr>
          <w:rFonts w:cs="Arial"/>
          <w:sz w:val="20"/>
          <w:szCs w:val="20"/>
        </w:rPr>
      </w:pPr>
      <w:r w:rsidRPr="00332C62">
        <w:rPr>
          <w:rFonts w:cs="Arial"/>
          <w:i/>
          <w:sz w:val="20"/>
          <w:szCs w:val="20"/>
        </w:rPr>
        <w:t>E-mail</w:t>
      </w:r>
    </w:p>
    <w:p w14:paraId="425B0A62" w14:textId="77777777" w:rsidR="004B1874" w:rsidRPr="00332C62" w:rsidRDefault="004B1874" w:rsidP="00332C62">
      <w:pPr>
        <w:pStyle w:val="Corpodetexto2"/>
        <w:rPr>
          <w:rFonts w:cs="Arial"/>
          <w:sz w:val="20"/>
          <w:szCs w:val="20"/>
        </w:rPr>
      </w:pPr>
    </w:p>
    <w:p w14:paraId="39AA3BC7" w14:textId="77777777" w:rsidR="004B1874" w:rsidRPr="00332C62" w:rsidRDefault="004B1874" w:rsidP="00332C62">
      <w:pPr>
        <w:pStyle w:val="Corpodetexto2"/>
        <w:rPr>
          <w:rFonts w:cs="Arial"/>
          <w:sz w:val="20"/>
          <w:szCs w:val="20"/>
        </w:rPr>
      </w:pPr>
    </w:p>
    <w:p w14:paraId="52C40387" w14:textId="30FB6347" w:rsidR="00AC276F" w:rsidRPr="00332C62" w:rsidRDefault="004B1874" w:rsidP="00AC276F">
      <w:pPr>
        <w:pStyle w:val="Corpodetexto2"/>
        <w:ind w:firstLine="708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Após protocolar, o Dirigente </w:t>
      </w:r>
      <w:r w:rsidR="00953887">
        <w:rPr>
          <w:rFonts w:cs="Arial"/>
          <w:sz w:val="20"/>
          <w:szCs w:val="20"/>
        </w:rPr>
        <w:t xml:space="preserve">Regional </w:t>
      </w:r>
      <w:r w:rsidRPr="00332C62">
        <w:rPr>
          <w:rFonts w:cs="Arial"/>
          <w:sz w:val="20"/>
          <w:szCs w:val="20"/>
        </w:rPr>
        <w:t xml:space="preserve">de Ensino irá autorizar e encaminhar a </w:t>
      </w:r>
      <w:r w:rsidR="00953887">
        <w:rPr>
          <w:rFonts w:cs="Arial"/>
          <w:sz w:val="20"/>
          <w:szCs w:val="20"/>
        </w:rPr>
        <w:t xml:space="preserve">Seção </w:t>
      </w:r>
      <w:r w:rsidRPr="00332C62">
        <w:rPr>
          <w:rFonts w:cs="Arial"/>
          <w:sz w:val="20"/>
          <w:szCs w:val="20"/>
        </w:rPr>
        <w:t xml:space="preserve">de Vida Escolar para fazer a declaração, após assinado pelo Dirigente </w:t>
      </w:r>
      <w:r w:rsidR="00953887">
        <w:rPr>
          <w:rFonts w:cs="Arial"/>
          <w:sz w:val="20"/>
          <w:szCs w:val="20"/>
        </w:rPr>
        <w:t xml:space="preserve">Regional </w:t>
      </w:r>
      <w:r w:rsidRPr="00332C62">
        <w:rPr>
          <w:rFonts w:cs="Arial"/>
          <w:sz w:val="20"/>
          <w:szCs w:val="20"/>
        </w:rPr>
        <w:t>de Ensino</w:t>
      </w:r>
      <w:r w:rsidR="00953887">
        <w:rPr>
          <w:rFonts w:cs="Arial"/>
          <w:sz w:val="20"/>
          <w:szCs w:val="20"/>
        </w:rPr>
        <w:t>,</w:t>
      </w:r>
      <w:r w:rsidRPr="00332C62">
        <w:rPr>
          <w:rFonts w:cs="Arial"/>
          <w:sz w:val="20"/>
          <w:szCs w:val="20"/>
        </w:rPr>
        <w:t xml:space="preserve"> comunicará ao interessado para retirar o documento.</w:t>
      </w:r>
    </w:p>
    <w:p w14:paraId="44C841C3" w14:textId="77777777" w:rsidR="00F55AB6" w:rsidRPr="00332C62" w:rsidRDefault="00F55AB6" w:rsidP="00332C62">
      <w:pPr>
        <w:jc w:val="both"/>
        <w:rPr>
          <w:rFonts w:cs="Arial"/>
          <w:sz w:val="20"/>
          <w:szCs w:val="20"/>
        </w:rPr>
      </w:pPr>
    </w:p>
    <w:p w14:paraId="518FA902" w14:textId="77777777" w:rsidR="00332C62" w:rsidRPr="00332C62" w:rsidRDefault="00332C62" w:rsidP="00332C62">
      <w:pPr>
        <w:pStyle w:val="Corpodetexto2"/>
        <w:rPr>
          <w:rFonts w:cs="Arial"/>
          <w:b/>
          <w:sz w:val="20"/>
          <w:szCs w:val="20"/>
        </w:rPr>
      </w:pPr>
    </w:p>
    <w:p w14:paraId="0F53A365" w14:textId="77777777" w:rsidR="00F55AB6" w:rsidRPr="00732ED0" w:rsidRDefault="004B1874" w:rsidP="00332C62">
      <w:pPr>
        <w:pStyle w:val="Corpodetexto2"/>
        <w:rPr>
          <w:rFonts w:cs="Arial"/>
          <w:b/>
          <w:szCs w:val="28"/>
        </w:rPr>
      </w:pPr>
      <w:r w:rsidRPr="00732ED0">
        <w:rPr>
          <w:rFonts w:cs="Arial"/>
          <w:b/>
          <w:szCs w:val="28"/>
        </w:rPr>
        <w:t>ESCOLAS NÃO AUTORIZADAS</w:t>
      </w:r>
    </w:p>
    <w:p w14:paraId="16B0223A" w14:textId="77777777" w:rsidR="004B1874" w:rsidRPr="00332C62" w:rsidRDefault="004B1874" w:rsidP="00332C62">
      <w:pPr>
        <w:pStyle w:val="Corpodetexto2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3291"/>
      </w:tblGrid>
      <w:tr w:rsidR="004B1874" w:rsidRPr="00332C62" w14:paraId="04CD823D" w14:textId="77777777" w:rsidTr="00AA0F98">
        <w:tc>
          <w:tcPr>
            <w:tcW w:w="4219" w:type="dxa"/>
            <w:gridSpan w:val="2"/>
          </w:tcPr>
          <w:p w14:paraId="7E1DB7F3" w14:textId="77777777" w:rsidR="004B1874" w:rsidRPr="00332C62" w:rsidRDefault="004B1874" w:rsidP="00332C62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>Órgão</w:t>
            </w:r>
            <w:r w:rsidRPr="00332C62">
              <w:rPr>
                <w:rFonts w:cs="Arial"/>
                <w:sz w:val="20"/>
                <w:szCs w:val="20"/>
              </w:rPr>
              <w:t>: CGEB/CGRH</w:t>
            </w:r>
          </w:p>
        </w:tc>
        <w:tc>
          <w:tcPr>
            <w:tcW w:w="2268" w:type="dxa"/>
          </w:tcPr>
          <w:p w14:paraId="5526DDE9" w14:textId="77777777" w:rsidR="004B1874" w:rsidRPr="00332C62" w:rsidRDefault="004B1874" w:rsidP="00332C62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>Doe</w:t>
            </w:r>
            <w:r w:rsidRPr="00332C62">
              <w:rPr>
                <w:rFonts w:cs="Arial"/>
                <w:sz w:val="20"/>
                <w:szCs w:val="20"/>
              </w:rPr>
              <w:t xml:space="preserve">: Executivo I   </w:t>
            </w:r>
          </w:p>
        </w:tc>
        <w:tc>
          <w:tcPr>
            <w:tcW w:w="3291" w:type="dxa"/>
          </w:tcPr>
          <w:p w14:paraId="4F1C1E91" w14:textId="77777777" w:rsidR="004B1874" w:rsidRPr="00332C62" w:rsidRDefault="004B1874" w:rsidP="00332C62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>Página(s)</w:t>
            </w:r>
            <w:r w:rsidRPr="00332C62">
              <w:rPr>
                <w:rFonts w:cs="Arial"/>
                <w:sz w:val="20"/>
                <w:szCs w:val="20"/>
              </w:rPr>
              <w:t xml:space="preserve">:    </w:t>
            </w:r>
          </w:p>
        </w:tc>
      </w:tr>
      <w:tr w:rsidR="004B1874" w:rsidRPr="00332C62" w14:paraId="7468050F" w14:textId="77777777" w:rsidTr="00AA0F98">
        <w:tc>
          <w:tcPr>
            <w:tcW w:w="2093" w:type="dxa"/>
          </w:tcPr>
          <w:p w14:paraId="5B09FE4E" w14:textId="77777777" w:rsidR="004B1874" w:rsidRPr="00332C62" w:rsidRDefault="004B1874" w:rsidP="00332C62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>Data: 06/09/2012</w:t>
            </w:r>
          </w:p>
        </w:tc>
        <w:tc>
          <w:tcPr>
            <w:tcW w:w="7685" w:type="dxa"/>
            <w:gridSpan w:val="3"/>
          </w:tcPr>
          <w:p w14:paraId="296DCD41" w14:textId="77777777" w:rsidR="004B1874" w:rsidRPr="00332C62" w:rsidRDefault="004B1874" w:rsidP="00332C62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>Assunto: MECANISMO DE APOIO ESCOLAR E ORIENTAÇÕES ESCOLAS NÃO AUTORIZADAS</w:t>
            </w:r>
          </w:p>
        </w:tc>
      </w:tr>
      <w:tr w:rsidR="004B1874" w:rsidRPr="00332C62" w14:paraId="206C3CB9" w14:textId="77777777" w:rsidTr="00AA0F98">
        <w:tc>
          <w:tcPr>
            <w:tcW w:w="9778" w:type="dxa"/>
            <w:gridSpan w:val="4"/>
          </w:tcPr>
          <w:p w14:paraId="55971778" w14:textId="77777777" w:rsidR="004B1874" w:rsidRPr="00332C62" w:rsidRDefault="004B1874" w:rsidP="00332C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 xml:space="preserve">Legislação: </w:t>
            </w:r>
            <w:r w:rsidRPr="00332C62">
              <w:rPr>
                <w:rFonts w:eastAsia="Calibri" w:cs="Arial"/>
                <w:b/>
                <w:bCs/>
                <w:sz w:val="20"/>
                <w:szCs w:val="20"/>
              </w:rPr>
              <w:t>Comunicado CGEB/CGRH, de 5-9-2012</w:t>
            </w:r>
          </w:p>
        </w:tc>
      </w:tr>
    </w:tbl>
    <w:p w14:paraId="73624EC9" w14:textId="77777777" w:rsidR="004B1874" w:rsidRPr="00332C62" w:rsidRDefault="004B1874" w:rsidP="00332C62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1D755D19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0"/>
          <w:szCs w:val="20"/>
        </w:rPr>
      </w:pPr>
      <w:r w:rsidRPr="00332C62">
        <w:rPr>
          <w:rFonts w:eastAsia="Calibri" w:cs="Arial"/>
          <w:b/>
          <w:bCs/>
          <w:sz w:val="20"/>
          <w:szCs w:val="20"/>
        </w:rPr>
        <w:t>Comunicado CGEB/CGRH, de 5-9-2012</w:t>
      </w:r>
    </w:p>
    <w:p w14:paraId="3A814719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0"/>
          <w:szCs w:val="20"/>
        </w:rPr>
      </w:pPr>
    </w:p>
    <w:p w14:paraId="0C915AB5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sz w:val="20"/>
          <w:szCs w:val="20"/>
        </w:rPr>
      </w:pPr>
      <w:r w:rsidRPr="00332C62">
        <w:rPr>
          <w:rFonts w:eastAsia="Calibri" w:cs="Arial"/>
          <w:sz w:val="20"/>
          <w:szCs w:val="20"/>
        </w:rPr>
        <w:t>A Coordenadora de Gestão da Educação Básica e o Coordenador de Gestão de Recursos Humanos tornam sem efeito o Comunicado CGEB/CGRH, de 14-8-2012, publicado no D.O. de 15-8-2012, que trata de questões referentes aos mecanismos de apoio escolar.</w:t>
      </w:r>
    </w:p>
    <w:p w14:paraId="3F519650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0"/>
          <w:szCs w:val="20"/>
        </w:rPr>
      </w:pPr>
    </w:p>
    <w:p w14:paraId="38005C9F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0"/>
          <w:szCs w:val="20"/>
        </w:rPr>
      </w:pPr>
      <w:r w:rsidRPr="00332C62">
        <w:rPr>
          <w:rFonts w:eastAsia="Calibri" w:cs="Arial"/>
          <w:b/>
          <w:bCs/>
          <w:sz w:val="20"/>
          <w:szCs w:val="20"/>
        </w:rPr>
        <w:t>Comunicado CGEB, 5-9-2012</w:t>
      </w:r>
    </w:p>
    <w:p w14:paraId="00EE0646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sz w:val="20"/>
          <w:szCs w:val="20"/>
          <w:highlight w:val="yellow"/>
        </w:rPr>
      </w:pPr>
      <w:r w:rsidRPr="00332C62">
        <w:rPr>
          <w:rFonts w:eastAsia="Calibri" w:cs="Arial"/>
          <w:sz w:val="20"/>
          <w:szCs w:val="20"/>
        </w:rPr>
        <w:t xml:space="preserve">O Coordenador da Coordenadoria de Gestão da Educação Básica – CGEB, na conformidade da manifestação CJ/SE 767/2010, comunica aos Dirigentes Regionais de Ensino que, independentemente das próprias normas vigentes e das orientações já emanadas pelos diversos órgãos competentes, </w:t>
      </w:r>
      <w:r w:rsidRPr="00332C62">
        <w:rPr>
          <w:rFonts w:eastAsia="Calibri" w:cs="Arial"/>
          <w:b/>
          <w:sz w:val="20"/>
          <w:szCs w:val="20"/>
          <w:highlight w:val="yellow"/>
        </w:rPr>
        <w:t>deverá ser recomendado aos Supervisores de Ensino que, tão logo sejam constatadas possíveis irregularidades por parte de instituições não vinculadas ou não autorizadas a funcionar no sistema estadual de ensino, comuniquem ao Dirigente de Ensino para a adoção das seguintes medidas:</w:t>
      </w:r>
    </w:p>
    <w:p w14:paraId="46735BFC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sz w:val="20"/>
          <w:szCs w:val="20"/>
          <w:highlight w:val="yellow"/>
        </w:rPr>
      </w:pPr>
      <w:r w:rsidRPr="00332C62">
        <w:rPr>
          <w:rFonts w:eastAsia="Calibri" w:cs="Arial"/>
          <w:b/>
          <w:sz w:val="20"/>
          <w:szCs w:val="20"/>
          <w:highlight w:val="yellow"/>
        </w:rPr>
        <w:t>a) diligenciar junto aos estabelecimentos indicados, providenciando relatório circunstanciado e levar o fato ao conhecimento da autoridade policial, lavrando-se o respectivo Boletim de Ocorrência, se for o caso; e</w:t>
      </w:r>
    </w:p>
    <w:p w14:paraId="529CA0FF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332C62">
        <w:rPr>
          <w:rFonts w:eastAsia="Calibri" w:cs="Arial"/>
          <w:b/>
          <w:sz w:val="20"/>
          <w:szCs w:val="20"/>
          <w:highlight w:val="yellow"/>
        </w:rPr>
        <w:t>b) oficiar ao Ministério Público, comunicando as providências adotadas, no caso de lavratura de Boletim de Ocorrência.</w:t>
      </w:r>
    </w:p>
    <w:p w14:paraId="5DD942C2" w14:textId="77777777" w:rsidR="004B1874" w:rsidRPr="00332C62" w:rsidRDefault="004B1874" w:rsidP="00332C62">
      <w:pPr>
        <w:pStyle w:val="Corpodetexto2"/>
        <w:rPr>
          <w:rFonts w:cs="Arial"/>
          <w:b/>
          <w:sz w:val="20"/>
          <w:szCs w:val="20"/>
        </w:rPr>
      </w:pPr>
    </w:p>
    <w:p w14:paraId="72E2EA6F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a) Conselheiro Francisco José Carbonari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Relator</w:t>
      </w:r>
    </w:p>
    <w:p w14:paraId="06489BFD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lastRenderedPageBreak/>
        <w:t>DELIBERAÇÃO PLENÁRIA</w:t>
      </w:r>
    </w:p>
    <w:p w14:paraId="2A94EF89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O CONSELHO ESTADUAL DE EDUCAÇÃO aprova, por unanimidade, a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presente Indicação.</w:t>
      </w:r>
    </w:p>
    <w:p w14:paraId="2EB61E35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Sala “Carlos Pasquale”, em 06 de maio de 2015.</w:t>
      </w:r>
    </w:p>
    <w:p w14:paraId="1BB19D04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Maria Lucia Franco Montoro Jens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no exercício da Presidência, conforme Art. 11 do Regimento das Sessões</w:t>
      </w:r>
    </w:p>
    <w:p w14:paraId="07E15A0E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_______</w:t>
      </w:r>
    </w:p>
    <w:p w14:paraId="6B487604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NOTAS:</w:t>
      </w:r>
    </w:p>
    <w:p w14:paraId="55E47ABA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Encontram-se na Col. de Leg. Fed. de Ens. Fundamental e Médio – CENP/SE:</w:t>
      </w:r>
    </w:p>
    <w:p w14:paraId="39451467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Constituição Federação à pág. 25 do vol. 15;</w:t>
      </w:r>
    </w:p>
    <w:p w14:paraId="2A2C7D4D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Emenda Constitucional nº 53/06 à pág. 28 do vol. 33;</w:t>
      </w:r>
    </w:p>
    <w:p w14:paraId="07CFAA33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Lei nº 9.394/96 à pág. 52 do vol. 22/23;</w:t>
      </w:r>
    </w:p>
    <w:p w14:paraId="44C114FC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Lei nº 11.114/05 à pág. 44 do vol. 32;</w:t>
      </w:r>
    </w:p>
    <w:p w14:paraId="3E4ED2B3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Resolução CNE/CEB nº 1/10 à pág. 123 do vol. 37;</w:t>
      </w:r>
    </w:p>
    <w:p w14:paraId="70F5FDFB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Resolução CNE/CEB nº 6/10 à pág. 157 do vol. 37.</w:t>
      </w:r>
    </w:p>
    <w:p w14:paraId="281D8809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Encontram-se na Col. de Leg. Est. de Ens. Fundamental e Médio – CENP/SE:</w:t>
      </w:r>
    </w:p>
    <w:p w14:paraId="0FF892DF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Constituição Estadual à pág. 29 do vol. XXVIII;</w:t>
      </w:r>
    </w:p>
    <w:p w14:paraId="4E272112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Lei nº 10.403/71 à pág. 450 do vol. 2;</w:t>
      </w:r>
    </w:p>
    <w:p w14:paraId="4E2C81E2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Parecer CEE nº 61/04 à pág. 154 do vol. LVII;</w:t>
      </w:r>
    </w:p>
    <w:p w14:paraId="1C7FACD8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Deliberação CEE nº 73/08 à pág. 200 do vol. LXV;</w:t>
      </w:r>
    </w:p>
    <w:p w14:paraId="6916A9F7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Indicação CEE nº 73/08 à pág. 202 do vol. LXV.</w:t>
      </w:r>
    </w:p>
    <w:p w14:paraId="25835E38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___________________________________</w:t>
      </w:r>
    </w:p>
    <w:p w14:paraId="3BC25CFE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(</w:t>
      </w:r>
      <w:r w:rsidRPr="00332C62">
        <w:rPr>
          <w:rFonts w:cs="Arial"/>
          <w:sz w:val="20"/>
          <w:szCs w:val="20"/>
        </w:rPr>
        <w:t></w:t>
      </w:r>
      <w:r w:rsidRPr="00332C62">
        <w:rPr>
          <w:rFonts w:cs="Arial"/>
          <w:b/>
          <w:bCs/>
          <w:sz w:val="20"/>
          <w:szCs w:val="20"/>
        </w:rPr>
        <w:t>) INDICAÇÃO CEE Nº 136/2015 – CEB – Aprovado em 06.5.2015</w:t>
      </w:r>
    </w:p>
    <w:p w14:paraId="2A763D2A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 xml:space="preserve">ASSUNTO: </w:t>
      </w:r>
      <w:r w:rsidRPr="00332C62">
        <w:rPr>
          <w:rFonts w:cs="Arial"/>
          <w:i/>
          <w:iCs/>
          <w:sz w:val="20"/>
          <w:szCs w:val="20"/>
        </w:rPr>
        <w:t>Encaminhamento de expedientes indevidos para o Conselho Estadual de</w:t>
      </w:r>
      <w:r w:rsidR="00F93C12" w:rsidRPr="00332C62">
        <w:rPr>
          <w:rFonts w:cs="Arial"/>
          <w:i/>
          <w:iCs/>
          <w:sz w:val="20"/>
          <w:szCs w:val="20"/>
        </w:rPr>
        <w:t xml:space="preserve"> </w:t>
      </w:r>
      <w:r w:rsidRPr="00332C62">
        <w:rPr>
          <w:rFonts w:cs="Arial"/>
          <w:i/>
          <w:iCs/>
          <w:sz w:val="20"/>
          <w:szCs w:val="20"/>
        </w:rPr>
        <w:t>Educação</w:t>
      </w:r>
    </w:p>
    <w:p w14:paraId="15153347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 xml:space="preserve">INTERESSADA: </w:t>
      </w:r>
      <w:r w:rsidRPr="00332C62">
        <w:rPr>
          <w:rFonts w:cs="Arial"/>
          <w:sz w:val="20"/>
          <w:szCs w:val="20"/>
        </w:rPr>
        <w:t>Câmara de Educação Básica</w:t>
      </w:r>
    </w:p>
    <w:p w14:paraId="695CD50D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 xml:space="preserve">RELATORES: </w:t>
      </w:r>
      <w:proofErr w:type="spellStart"/>
      <w:r w:rsidRPr="00332C62">
        <w:rPr>
          <w:rFonts w:cs="Arial"/>
          <w:sz w:val="20"/>
          <w:szCs w:val="20"/>
        </w:rPr>
        <w:t>Consºs</w:t>
      </w:r>
      <w:proofErr w:type="spellEnd"/>
      <w:r w:rsidRPr="00332C62">
        <w:rPr>
          <w:rFonts w:cs="Arial"/>
          <w:sz w:val="20"/>
          <w:szCs w:val="20"/>
        </w:rPr>
        <w:t xml:space="preserve">. Antônio Carlos das Neves, Francisco </w:t>
      </w:r>
      <w:proofErr w:type="spellStart"/>
      <w:r w:rsidRPr="00332C62">
        <w:rPr>
          <w:rFonts w:cs="Arial"/>
          <w:sz w:val="20"/>
          <w:szCs w:val="20"/>
        </w:rPr>
        <w:t>Antonio</w:t>
      </w:r>
      <w:proofErr w:type="spellEnd"/>
      <w:r w:rsidRPr="00332C62">
        <w:rPr>
          <w:rFonts w:cs="Arial"/>
          <w:sz w:val="20"/>
          <w:szCs w:val="20"/>
        </w:rPr>
        <w:t xml:space="preserve"> Poli, </w:t>
      </w:r>
      <w:proofErr w:type="spellStart"/>
      <w:r w:rsidRPr="00332C62">
        <w:rPr>
          <w:rFonts w:cs="Arial"/>
          <w:sz w:val="20"/>
          <w:szCs w:val="20"/>
        </w:rPr>
        <w:t>Ghisleine</w:t>
      </w:r>
      <w:proofErr w:type="spellEnd"/>
      <w:r w:rsidRPr="00332C62">
        <w:rPr>
          <w:rFonts w:cs="Arial"/>
          <w:sz w:val="20"/>
          <w:szCs w:val="20"/>
        </w:rPr>
        <w:t xml:space="preserve"> Trigo</w:t>
      </w:r>
    </w:p>
    <w:p w14:paraId="29663EA6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Silveira, Jair Ribeiro da Silva Neto, Laura </w:t>
      </w:r>
      <w:proofErr w:type="spellStart"/>
      <w:r w:rsidRPr="00332C62">
        <w:rPr>
          <w:rFonts w:cs="Arial"/>
          <w:sz w:val="20"/>
          <w:szCs w:val="20"/>
        </w:rPr>
        <w:t>Laganá</w:t>
      </w:r>
      <w:proofErr w:type="spellEnd"/>
      <w:r w:rsidRPr="00332C62">
        <w:rPr>
          <w:rFonts w:cs="Arial"/>
          <w:sz w:val="20"/>
          <w:szCs w:val="20"/>
        </w:rPr>
        <w:t>, Luís Carlos de Menezes, Maria Lúcia</w:t>
      </w:r>
    </w:p>
    <w:p w14:paraId="527E217F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Franco Montoro Jens, Priscilla Maria Bonini Ribeiro, Suzana Guimarães Trípoli e Sylvia</w:t>
      </w:r>
    </w:p>
    <w:p w14:paraId="4BD7F202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Gouvêa</w:t>
      </w:r>
    </w:p>
    <w:p w14:paraId="366C0DA5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 xml:space="preserve">PROCESSO CEE </w:t>
      </w:r>
      <w:r w:rsidRPr="00332C62">
        <w:rPr>
          <w:rFonts w:cs="Arial"/>
          <w:sz w:val="20"/>
          <w:szCs w:val="20"/>
        </w:rPr>
        <w:t>110/2015</w:t>
      </w:r>
    </w:p>
    <w:p w14:paraId="6A544164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332C62">
        <w:rPr>
          <w:rFonts w:cs="Arial"/>
          <w:i/>
          <w:iCs/>
          <w:sz w:val="20"/>
          <w:szCs w:val="20"/>
        </w:rPr>
        <w:t>CONSELHO PLENO</w:t>
      </w:r>
    </w:p>
    <w:p w14:paraId="3D5D79FC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1. RELATÓRIO</w:t>
      </w:r>
    </w:p>
    <w:p w14:paraId="461D9E86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Tem chegado a este Colegiado, indevidamente - e após passarem por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instâncias da Secretaria da Educação - expedientes que tratam de denúncias de supostas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irregularidades cometidas por escolas, empresas ou escritórios não vinculados ou não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autorizados a funcionar no Sistema de Ensino do Estado de São Paulo.</w:t>
      </w:r>
    </w:p>
    <w:p w14:paraId="79575CAF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Deve-se lembrar que o Conselho Estadual de Educação é um órgão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 xml:space="preserve">normativo, deliberativo e consultivo do </w:t>
      </w:r>
      <w:r w:rsidRPr="00332C62">
        <w:rPr>
          <w:rFonts w:cs="Arial"/>
          <w:b/>
          <w:bCs/>
          <w:sz w:val="20"/>
          <w:szCs w:val="20"/>
        </w:rPr>
        <w:t>Sistema de Ensino do Estado de São Paulo</w:t>
      </w:r>
      <w:r w:rsidRPr="00332C62">
        <w:rPr>
          <w:rFonts w:cs="Arial"/>
          <w:sz w:val="20"/>
          <w:szCs w:val="20"/>
        </w:rPr>
        <w:t>, a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quem compete, além de outras atribuições:</w:t>
      </w:r>
    </w:p>
    <w:p w14:paraId="278B95E5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formular</w:t>
      </w:r>
      <w:proofErr w:type="gramEnd"/>
      <w:r w:rsidRPr="00332C62">
        <w:rPr>
          <w:rFonts w:cs="Arial"/>
          <w:sz w:val="20"/>
          <w:szCs w:val="20"/>
        </w:rPr>
        <w:t xml:space="preserve"> os objetivos e traçar normas para a organização do </w:t>
      </w:r>
      <w:r w:rsidRPr="00332C62">
        <w:rPr>
          <w:rFonts w:cs="Arial"/>
          <w:b/>
          <w:bCs/>
          <w:sz w:val="20"/>
          <w:szCs w:val="20"/>
        </w:rPr>
        <w:t>Sistema de</w:t>
      </w:r>
      <w:r w:rsidR="00F93C12" w:rsidRPr="00332C62">
        <w:rPr>
          <w:rFonts w:cs="Arial"/>
          <w:b/>
          <w:bCs/>
          <w:sz w:val="20"/>
          <w:szCs w:val="20"/>
        </w:rPr>
        <w:t xml:space="preserve"> </w:t>
      </w:r>
      <w:r w:rsidRPr="00332C62">
        <w:rPr>
          <w:rFonts w:cs="Arial"/>
          <w:b/>
          <w:bCs/>
          <w:sz w:val="20"/>
          <w:szCs w:val="20"/>
        </w:rPr>
        <w:t xml:space="preserve">Ensino </w:t>
      </w:r>
      <w:r w:rsidRPr="00332C62">
        <w:rPr>
          <w:rFonts w:cs="Arial"/>
          <w:sz w:val="20"/>
          <w:szCs w:val="20"/>
        </w:rPr>
        <w:t>do Estado de São Paulo; (</w:t>
      </w:r>
      <w:proofErr w:type="spellStart"/>
      <w:r w:rsidRPr="00332C62">
        <w:rPr>
          <w:rFonts w:cs="Arial"/>
          <w:sz w:val="20"/>
          <w:szCs w:val="20"/>
        </w:rPr>
        <w:t>g.n</w:t>
      </w:r>
      <w:proofErr w:type="spellEnd"/>
      <w:r w:rsidRPr="00332C62">
        <w:rPr>
          <w:rFonts w:cs="Arial"/>
          <w:sz w:val="20"/>
          <w:szCs w:val="20"/>
        </w:rPr>
        <w:t>.)</w:t>
      </w:r>
    </w:p>
    <w:p w14:paraId="31023075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fixar</w:t>
      </w:r>
      <w:proofErr w:type="gramEnd"/>
      <w:r w:rsidRPr="00332C62">
        <w:rPr>
          <w:rFonts w:cs="Arial"/>
          <w:sz w:val="20"/>
          <w:szCs w:val="20"/>
        </w:rPr>
        <w:t xml:space="preserve"> normas para a instalação e funcionamento de estabelecimentos de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 xml:space="preserve">ensino de educação básica </w:t>
      </w:r>
      <w:r w:rsidRPr="00332C62">
        <w:rPr>
          <w:rFonts w:cs="Arial"/>
          <w:b/>
          <w:bCs/>
          <w:sz w:val="20"/>
          <w:szCs w:val="20"/>
        </w:rPr>
        <w:t>mantidos pelo Estado</w:t>
      </w:r>
      <w:r w:rsidRPr="00332C62">
        <w:rPr>
          <w:rFonts w:cs="Arial"/>
          <w:sz w:val="20"/>
          <w:szCs w:val="20"/>
        </w:rPr>
        <w:t>, e aprovar os respectivos regimentos 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suas alterações; (</w:t>
      </w:r>
      <w:proofErr w:type="spellStart"/>
      <w:r w:rsidRPr="00332C62">
        <w:rPr>
          <w:rFonts w:cs="Arial"/>
          <w:sz w:val="20"/>
          <w:szCs w:val="20"/>
        </w:rPr>
        <w:t>g.n</w:t>
      </w:r>
      <w:proofErr w:type="spellEnd"/>
      <w:r w:rsidRPr="00332C62">
        <w:rPr>
          <w:rFonts w:cs="Arial"/>
          <w:sz w:val="20"/>
          <w:szCs w:val="20"/>
        </w:rPr>
        <w:t>.)</w:t>
      </w:r>
    </w:p>
    <w:p w14:paraId="3C09D02C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fixar</w:t>
      </w:r>
      <w:proofErr w:type="gramEnd"/>
      <w:r w:rsidRPr="00332C62">
        <w:rPr>
          <w:rFonts w:cs="Arial"/>
          <w:sz w:val="20"/>
          <w:szCs w:val="20"/>
        </w:rPr>
        <w:t xml:space="preserve"> normas para a instalação, autorização de funcionamento 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 xml:space="preserve">reconhecimento de estabelecimentos de ensino de educação básica, </w:t>
      </w:r>
      <w:r w:rsidRPr="00332C62">
        <w:rPr>
          <w:rFonts w:cs="Arial"/>
          <w:b/>
          <w:bCs/>
          <w:sz w:val="20"/>
          <w:szCs w:val="20"/>
        </w:rPr>
        <w:t>municipais ou</w:t>
      </w:r>
      <w:r w:rsidR="00F93C12" w:rsidRPr="00332C62">
        <w:rPr>
          <w:rFonts w:cs="Arial"/>
          <w:b/>
          <w:bCs/>
          <w:sz w:val="20"/>
          <w:szCs w:val="20"/>
        </w:rPr>
        <w:t xml:space="preserve"> </w:t>
      </w:r>
      <w:r w:rsidRPr="00332C62">
        <w:rPr>
          <w:rFonts w:cs="Arial"/>
          <w:b/>
          <w:bCs/>
          <w:sz w:val="20"/>
          <w:szCs w:val="20"/>
        </w:rPr>
        <w:t xml:space="preserve">privados, </w:t>
      </w:r>
      <w:r w:rsidRPr="00332C62">
        <w:rPr>
          <w:rFonts w:cs="Arial"/>
          <w:sz w:val="20"/>
          <w:szCs w:val="20"/>
        </w:rPr>
        <w:t>bem como para a aprovação dos respectivos regimentos e suas alterações; (</w:t>
      </w:r>
      <w:proofErr w:type="spellStart"/>
      <w:r w:rsidRPr="00332C62">
        <w:rPr>
          <w:rFonts w:cs="Arial"/>
          <w:sz w:val="20"/>
          <w:szCs w:val="20"/>
        </w:rPr>
        <w:t>g.n</w:t>
      </w:r>
      <w:proofErr w:type="spellEnd"/>
      <w:r w:rsidRPr="00332C62">
        <w:rPr>
          <w:rFonts w:cs="Arial"/>
          <w:sz w:val="20"/>
          <w:szCs w:val="20"/>
        </w:rPr>
        <w:t>.)</w:t>
      </w:r>
    </w:p>
    <w:p w14:paraId="5F83EF64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fixar</w:t>
      </w:r>
      <w:proofErr w:type="gramEnd"/>
      <w:r w:rsidRPr="00332C62">
        <w:rPr>
          <w:rFonts w:cs="Arial"/>
          <w:sz w:val="20"/>
          <w:szCs w:val="20"/>
        </w:rPr>
        <w:t xml:space="preserve"> normas para a </w:t>
      </w:r>
      <w:r w:rsidRPr="00332C62">
        <w:rPr>
          <w:rFonts w:cs="Arial"/>
          <w:b/>
          <w:bCs/>
          <w:sz w:val="20"/>
          <w:szCs w:val="20"/>
        </w:rPr>
        <w:t xml:space="preserve">fiscalização </w:t>
      </w:r>
      <w:r w:rsidRPr="00332C62">
        <w:rPr>
          <w:rFonts w:cs="Arial"/>
          <w:sz w:val="20"/>
          <w:szCs w:val="20"/>
        </w:rPr>
        <w:t xml:space="preserve">dos estabelecimentos </w:t>
      </w:r>
      <w:r w:rsidRPr="00332C62">
        <w:rPr>
          <w:rFonts w:cs="Arial"/>
          <w:b/>
          <w:bCs/>
          <w:sz w:val="20"/>
          <w:szCs w:val="20"/>
        </w:rPr>
        <w:t>referidos nos</w:t>
      </w:r>
      <w:r w:rsidR="00F93C12" w:rsidRPr="00332C62">
        <w:rPr>
          <w:rFonts w:cs="Arial"/>
          <w:b/>
          <w:bCs/>
          <w:sz w:val="20"/>
          <w:szCs w:val="20"/>
        </w:rPr>
        <w:t xml:space="preserve"> </w:t>
      </w:r>
      <w:r w:rsidRPr="00332C62">
        <w:rPr>
          <w:rFonts w:cs="Arial"/>
          <w:b/>
          <w:bCs/>
          <w:sz w:val="20"/>
          <w:szCs w:val="20"/>
        </w:rPr>
        <w:t xml:space="preserve">itens anteriores, </w:t>
      </w:r>
      <w:r w:rsidRPr="00332C62">
        <w:rPr>
          <w:rFonts w:cs="Arial"/>
          <w:sz w:val="20"/>
          <w:szCs w:val="20"/>
        </w:rPr>
        <w:t>dispondo inclusive sobre casos de cassação de funcionamento ou de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reconhecimento; (</w:t>
      </w:r>
      <w:proofErr w:type="spellStart"/>
      <w:r w:rsidRPr="00332C62">
        <w:rPr>
          <w:rFonts w:cs="Arial"/>
          <w:sz w:val="20"/>
          <w:szCs w:val="20"/>
        </w:rPr>
        <w:t>gg.nn</w:t>
      </w:r>
      <w:proofErr w:type="spellEnd"/>
      <w:r w:rsidRPr="00332C62">
        <w:rPr>
          <w:rFonts w:cs="Arial"/>
          <w:sz w:val="20"/>
          <w:szCs w:val="20"/>
        </w:rPr>
        <w:t>.)</w:t>
      </w:r>
    </w:p>
    <w:p w14:paraId="6383AD23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fixar</w:t>
      </w:r>
      <w:proofErr w:type="gramEnd"/>
      <w:r w:rsidRPr="00332C62">
        <w:rPr>
          <w:rFonts w:cs="Arial"/>
          <w:sz w:val="20"/>
          <w:szCs w:val="20"/>
        </w:rPr>
        <w:t xml:space="preserve"> normas e decidir sobre a cassação de autorização de funcionamento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 xml:space="preserve">ou de reconhecimento de qualquer curso ou escola </w:t>
      </w:r>
      <w:r w:rsidRPr="00332C62">
        <w:rPr>
          <w:rFonts w:cs="Arial"/>
          <w:b/>
          <w:bCs/>
          <w:sz w:val="20"/>
          <w:szCs w:val="20"/>
        </w:rPr>
        <w:t>vinculados ao Sistema de Ensino do</w:t>
      </w:r>
      <w:r w:rsidR="00F93C12" w:rsidRPr="00332C62">
        <w:rPr>
          <w:rFonts w:cs="Arial"/>
          <w:b/>
          <w:bCs/>
          <w:sz w:val="20"/>
          <w:szCs w:val="20"/>
        </w:rPr>
        <w:t xml:space="preserve"> </w:t>
      </w:r>
      <w:r w:rsidRPr="00332C62">
        <w:rPr>
          <w:rFonts w:cs="Arial"/>
          <w:b/>
          <w:bCs/>
          <w:sz w:val="20"/>
          <w:szCs w:val="20"/>
        </w:rPr>
        <w:t xml:space="preserve">Estado de São Paulo, </w:t>
      </w:r>
      <w:r w:rsidRPr="00332C62">
        <w:rPr>
          <w:rFonts w:cs="Arial"/>
          <w:sz w:val="20"/>
          <w:szCs w:val="20"/>
        </w:rPr>
        <w:t>(</w:t>
      </w:r>
      <w:proofErr w:type="spellStart"/>
      <w:r w:rsidRPr="00332C62">
        <w:rPr>
          <w:rFonts w:cs="Arial"/>
          <w:sz w:val="20"/>
          <w:szCs w:val="20"/>
        </w:rPr>
        <w:t>g.n</w:t>
      </w:r>
      <w:proofErr w:type="spellEnd"/>
      <w:r w:rsidRPr="00332C62">
        <w:rPr>
          <w:rFonts w:cs="Arial"/>
          <w:sz w:val="20"/>
          <w:szCs w:val="20"/>
        </w:rPr>
        <w:t>.)</w:t>
      </w:r>
    </w:p>
    <w:p w14:paraId="4D960170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promover</w:t>
      </w:r>
      <w:proofErr w:type="gramEnd"/>
      <w:r w:rsidRPr="00332C62">
        <w:rPr>
          <w:rFonts w:cs="Arial"/>
          <w:sz w:val="20"/>
          <w:szCs w:val="20"/>
        </w:rPr>
        <w:t xml:space="preserve"> correições em qualquer estabelecimento </w:t>
      </w:r>
      <w:r w:rsidRPr="00332C62">
        <w:rPr>
          <w:rFonts w:cs="Arial"/>
          <w:b/>
          <w:bCs/>
          <w:sz w:val="20"/>
          <w:szCs w:val="20"/>
        </w:rPr>
        <w:t>vinculado ao</w:t>
      </w:r>
      <w:r w:rsidR="00F93C12" w:rsidRPr="00332C62">
        <w:rPr>
          <w:rFonts w:cs="Arial"/>
          <w:b/>
          <w:bCs/>
          <w:sz w:val="20"/>
          <w:szCs w:val="20"/>
        </w:rPr>
        <w:t xml:space="preserve"> </w:t>
      </w:r>
      <w:r w:rsidRPr="00332C62">
        <w:rPr>
          <w:rFonts w:cs="Arial"/>
          <w:b/>
          <w:bCs/>
          <w:sz w:val="20"/>
          <w:szCs w:val="20"/>
        </w:rPr>
        <w:t xml:space="preserve">Sistema Estadual de Ensino </w:t>
      </w:r>
      <w:r w:rsidRPr="00332C62">
        <w:rPr>
          <w:rFonts w:cs="Arial"/>
          <w:sz w:val="20"/>
          <w:szCs w:val="20"/>
        </w:rPr>
        <w:t>e sugerir providências; (</w:t>
      </w:r>
      <w:proofErr w:type="spellStart"/>
      <w:r w:rsidRPr="00332C62">
        <w:rPr>
          <w:rFonts w:cs="Arial"/>
          <w:sz w:val="20"/>
          <w:szCs w:val="20"/>
        </w:rPr>
        <w:t>g.n</w:t>
      </w:r>
      <w:proofErr w:type="spellEnd"/>
      <w:r w:rsidRPr="00332C62">
        <w:rPr>
          <w:rFonts w:cs="Arial"/>
          <w:sz w:val="20"/>
          <w:szCs w:val="20"/>
        </w:rPr>
        <w:t>.)</w:t>
      </w:r>
    </w:p>
    <w:p w14:paraId="0EC20AD8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emitir</w:t>
      </w:r>
      <w:proofErr w:type="gramEnd"/>
      <w:r w:rsidRPr="00332C62">
        <w:rPr>
          <w:rFonts w:cs="Arial"/>
          <w:sz w:val="20"/>
          <w:szCs w:val="20"/>
        </w:rPr>
        <w:t xml:space="preserve"> parecer sobre assuntos ou questões </w:t>
      </w:r>
      <w:r w:rsidRPr="00332C62">
        <w:rPr>
          <w:rFonts w:cs="Arial"/>
          <w:b/>
          <w:bCs/>
          <w:sz w:val="20"/>
          <w:szCs w:val="20"/>
        </w:rPr>
        <w:t>de sua competência</w:t>
      </w:r>
      <w:r w:rsidRPr="00332C62">
        <w:rPr>
          <w:rFonts w:cs="Arial"/>
          <w:sz w:val="20"/>
          <w:szCs w:val="20"/>
        </w:rPr>
        <w:t>, que lhe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sejam submetidos pelo Governo do Estado.</w:t>
      </w:r>
    </w:p>
    <w:p w14:paraId="4526BC30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Pelo exposto, observa-se que as atribuições e competências do Conselho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Estadual de Educação estão definidas em lei. Em resumo, o Conselho delibera sobre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matérias que dizem respeito ao Sistema de Ensino do Estado de São Paulo. Em se tratando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de estabelecimentos de ensino, são aqueles mantidos pelo Estado de São Paulo, pelas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Prefeituras Municipais do Estado de São Paulo que não constituíram sistema, e pela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iniciativa privada, desde que autorizados pelos órgãos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competentes. Estes</w:t>
      </w:r>
      <w:r w:rsidR="00F93C12" w:rsidRPr="00332C62">
        <w:rPr>
          <w:rFonts w:cs="Arial"/>
          <w:sz w:val="20"/>
          <w:szCs w:val="20"/>
        </w:rPr>
        <w:t xml:space="preserve"> e</w:t>
      </w:r>
      <w:r w:rsidRPr="00332C62">
        <w:rPr>
          <w:rFonts w:cs="Arial"/>
          <w:sz w:val="20"/>
          <w:szCs w:val="20"/>
        </w:rPr>
        <w:t>stabelecimentos de ensino serão regulados pelo Conselho e fiscalizados pelos órgãos da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Secretaria de Educação do Estado de São Paulo.</w:t>
      </w:r>
    </w:p>
    <w:p w14:paraId="7A0E4E5B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lastRenderedPageBreak/>
        <w:t>Em sentido contrário, fica claro que ao Conselho Estadual de Educação é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vedado emitir pareceres e deliberar sobre matéria que está fora da sua competência. Este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Colegiado não pode promover correições, fiscalizar ou cassar cursos, escolas, empresas,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escritórios que não são vinculados ao Sistema Estadual de Ensino.</w:t>
      </w:r>
    </w:p>
    <w:p w14:paraId="11E0FFDC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332C62">
        <w:rPr>
          <w:rFonts w:cs="Arial"/>
          <w:b/>
          <w:sz w:val="20"/>
          <w:szCs w:val="20"/>
          <w:highlight w:val="yellow"/>
        </w:rPr>
        <w:t>Portanto, pela presente Indicação, recomenda-se aos órgãos de supervisão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</w:t>
      </w:r>
      <w:r w:rsidRPr="00332C62">
        <w:rPr>
          <w:rFonts w:cs="Arial"/>
          <w:b/>
          <w:sz w:val="20"/>
          <w:szCs w:val="20"/>
          <w:highlight w:val="yellow"/>
        </w:rPr>
        <w:t>e às autoridades de ensino em geral que, quando forem comunicadas sobre possíveis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</w:t>
      </w:r>
      <w:r w:rsidRPr="00332C62">
        <w:rPr>
          <w:rFonts w:cs="Arial"/>
          <w:b/>
          <w:sz w:val="20"/>
          <w:szCs w:val="20"/>
          <w:highlight w:val="yellow"/>
        </w:rPr>
        <w:t>irregularidades cometidas por escolas, empresas, escritórios que não pertencem ao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</w:t>
      </w:r>
      <w:r w:rsidRPr="00332C62">
        <w:rPr>
          <w:rFonts w:cs="Arial"/>
          <w:b/>
          <w:sz w:val="20"/>
          <w:szCs w:val="20"/>
          <w:highlight w:val="yellow"/>
        </w:rPr>
        <w:t>Sistema Estadual de Ensino do Estado de São Paulo, orientem os reclamantes a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</w:t>
      </w:r>
      <w:r w:rsidRPr="00332C62">
        <w:rPr>
          <w:rFonts w:cs="Arial"/>
          <w:b/>
          <w:sz w:val="20"/>
          <w:szCs w:val="20"/>
          <w:highlight w:val="yellow"/>
        </w:rPr>
        <w:t>procurarem as autoridades competentes, entre elas, os serviços de defesa do consumidor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</w:t>
      </w:r>
      <w:r w:rsidRPr="00332C62">
        <w:rPr>
          <w:rFonts w:cs="Arial"/>
          <w:b/>
          <w:sz w:val="20"/>
          <w:szCs w:val="20"/>
          <w:highlight w:val="yellow"/>
        </w:rPr>
        <w:t xml:space="preserve">(Procon, </w:t>
      </w:r>
      <w:proofErr w:type="spellStart"/>
      <w:r w:rsidRPr="00332C62">
        <w:rPr>
          <w:rFonts w:cs="Arial"/>
          <w:b/>
          <w:sz w:val="20"/>
          <w:szCs w:val="20"/>
          <w:highlight w:val="yellow"/>
        </w:rPr>
        <w:t>Decon</w:t>
      </w:r>
      <w:proofErr w:type="spellEnd"/>
      <w:r w:rsidRPr="00332C62">
        <w:rPr>
          <w:rFonts w:cs="Arial"/>
          <w:b/>
          <w:sz w:val="20"/>
          <w:szCs w:val="20"/>
          <w:highlight w:val="yellow"/>
        </w:rPr>
        <w:t>), a Delegacia de Polícia local, o Ministério Público e a Prefeitura Municipal,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 </w:t>
      </w:r>
      <w:r w:rsidRPr="00332C62">
        <w:rPr>
          <w:rFonts w:cs="Arial"/>
          <w:b/>
          <w:sz w:val="20"/>
          <w:szCs w:val="20"/>
          <w:highlight w:val="yellow"/>
        </w:rPr>
        <w:t>para a denúncia.</w:t>
      </w:r>
    </w:p>
    <w:p w14:paraId="7FC445B4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Essa comunicação de irregularidade não deve gerar expediente na Pasta da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Educação e, da mesma forma, não deve ser encaminhada ao Conselho Estadual de</w:t>
      </w:r>
    </w:p>
    <w:p w14:paraId="27B2FFBB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Educação.</w:t>
      </w:r>
    </w:p>
    <w:p w14:paraId="19096DCC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2. CONCLUSÃO</w:t>
      </w:r>
    </w:p>
    <w:p w14:paraId="19C5DBD1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Propomos à consideração superior do Conselho Estadual de Educação, a</w:t>
      </w:r>
    </w:p>
    <w:p w14:paraId="568E96F3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presente Indicação.</w:t>
      </w:r>
    </w:p>
    <w:p w14:paraId="3741C0B2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São Paulo, 29 de abril de 2015.</w:t>
      </w:r>
    </w:p>
    <w:p w14:paraId="708A2D06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Cons. </w:t>
      </w:r>
      <w:proofErr w:type="spellStart"/>
      <w:r w:rsidRPr="00332C62">
        <w:rPr>
          <w:rFonts w:cs="Arial"/>
          <w:sz w:val="20"/>
          <w:szCs w:val="20"/>
        </w:rPr>
        <w:t>Antonio</w:t>
      </w:r>
      <w:proofErr w:type="spellEnd"/>
      <w:r w:rsidRPr="00332C62">
        <w:rPr>
          <w:rFonts w:cs="Arial"/>
          <w:sz w:val="20"/>
          <w:szCs w:val="20"/>
        </w:rPr>
        <w:t xml:space="preserve"> Carlos das Neves</w:t>
      </w:r>
    </w:p>
    <w:p w14:paraId="7FEE4081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Cons. Francisco </w:t>
      </w:r>
      <w:proofErr w:type="spellStart"/>
      <w:r w:rsidRPr="00332C62">
        <w:rPr>
          <w:rFonts w:cs="Arial"/>
          <w:sz w:val="20"/>
          <w:szCs w:val="20"/>
        </w:rPr>
        <w:t>Antonio</w:t>
      </w:r>
      <w:proofErr w:type="spellEnd"/>
      <w:r w:rsidRPr="00332C62">
        <w:rPr>
          <w:rFonts w:cs="Arial"/>
          <w:sz w:val="20"/>
          <w:szCs w:val="20"/>
        </w:rPr>
        <w:t xml:space="preserve"> Poli</w:t>
      </w:r>
    </w:p>
    <w:p w14:paraId="722D827B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</w:t>
      </w: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</w:t>
      </w:r>
      <w:proofErr w:type="spellStart"/>
      <w:r w:rsidRPr="00332C62">
        <w:rPr>
          <w:rFonts w:cs="Arial"/>
          <w:sz w:val="20"/>
          <w:szCs w:val="20"/>
        </w:rPr>
        <w:t>Ghisleine</w:t>
      </w:r>
      <w:proofErr w:type="spellEnd"/>
      <w:r w:rsidRPr="00332C62">
        <w:rPr>
          <w:rFonts w:cs="Arial"/>
          <w:sz w:val="20"/>
          <w:szCs w:val="20"/>
        </w:rPr>
        <w:t xml:space="preserve"> Trigo Silveira</w:t>
      </w:r>
    </w:p>
    <w:p w14:paraId="56F39EFF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a) Cons. Jair Ribeiro da Silva Neto</w:t>
      </w:r>
    </w:p>
    <w:p w14:paraId="5B276F48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</w:t>
      </w: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Laura </w:t>
      </w:r>
      <w:proofErr w:type="spellStart"/>
      <w:r w:rsidRPr="00332C62">
        <w:rPr>
          <w:rFonts w:cs="Arial"/>
          <w:sz w:val="20"/>
          <w:szCs w:val="20"/>
        </w:rPr>
        <w:t>Laganá</w:t>
      </w:r>
      <w:proofErr w:type="spellEnd"/>
    </w:p>
    <w:p w14:paraId="12E50469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a) Cons. Luís Carlos de Menezes</w:t>
      </w:r>
    </w:p>
    <w:p w14:paraId="76E6EF28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a) Cons. Maria Lúcia Franco Montoro Jens</w:t>
      </w:r>
    </w:p>
    <w:p w14:paraId="1471C885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</w:t>
      </w: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Priscilla Maria Bonini Ribeiro</w:t>
      </w:r>
    </w:p>
    <w:p w14:paraId="6C265AE0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</w:t>
      </w: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Suzana Guimarães Tripoli</w:t>
      </w:r>
    </w:p>
    <w:p w14:paraId="167924EF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</w:t>
      </w: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Sylvia Gouvêa</w:t>
      </w:r>
    </w:p>
    <w:p w14:paraId="408AAB7B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Relatores</w:t>
      </w:r>
    </w:p>
    <w:p w14:paraId="22E1728A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240</w:t>
      </w:r>
    </w:p>
    <w:p w14:paraId="3DF3DE57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3. DECISÃO DA CÂMARA</w:t>
      </w:r>
    </w:p>
    <w:p w14:paraId="4FA59103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 Câmara de Educação Básica adota como sua Indicação, o Voto dos</w:t>
      </w:r>
    </w:p>
    <w:p w14:paraId="1DB8FF07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Relatores.</w:t>
      </w:r>
    </w:p>
    <w:p w14:paraId="5D1C6856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Presentes os Conselheiros: Antônio Carlos das Neves, Francisco Antônio</w:t>
      </w:r>
    </w:p>
    <w:p w14:paraId="25DB9F4F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Poli, Laura </w:t>
      </w:r>
      <w:proofErr w:type="spellStart"/>
      <w:r w:rsidRPr="00332C62">
        <w:rPr>
          <w:rFonts w:cs="Arial"/>
          <w:sz w:val="20"/>
          <w:szCs w:val="20"/>
        </w:rPr>
        <w:t>Laganá</w:t>
      </w:r>
      <w:proofErr w:type="spellEnd"/>
      <w:r w:rsidRPr="00332C62">
        <w:rPr>
          <w:rFonts w:cs="Arial"/>
          <w:sz w:val="20"/>
          <w:szCs w:val="20"/>
        </w:rPr>
        <w:t xml:space="preserve">, </w:t>
      </w:r>
      <w:proofErr w:type="spellStart"/>
      <w:r w:rsidRPr="00332C62">
        <w:rPr>
          <w:rFonts w:cs="Arial"/>
          <w:sz w:val="20"/>
          <w:szCs w:val="20"/>
        </w:rPr>
        <w:t>Luis</w:t>
      </w:r>
      <w:proofErr w:type="spellEnd"/>
      <w:r w:rsidRPr="00332C62">
        <w:rPr>
          <w:rFonts w:cs="Arial"/>
          <w:sz w:val="20"/>
          <w:szCs w:val="20"/>
        </w:rPr>
        <w:t xml:space="preserve"> Carlos de Menezes, Maria Lúcia Franco Montoro Jens, Priscilla</w:t>
      </w:r>
    </w:p>
    <w:p w14:paraId="757B5B09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Maria Bonini Ribeiro, Suzana Guimarães Trípoli e Sylvia Gouvêa.</w:t>
      </w:r>
    </w:p>
    <w:p w14:paraId="18605119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Sala da Câmara de Educação Básica, em 29 de abril de 2015.</w:t>
      </w:r>
    </w:p>
    <w:p w14:paraId="4213E40E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a) Cons.° Francisco Antônio Poli</w:t>
      </w:r>
    </w:p>
    <w:p w14:paraId="1020BADD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Presidente da CEB</w:t>
      </w:r>
    </w:p>
    <w:p w14:paraId="52AD7897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DELIBERAÇÃO PLENÁRIA</w:t>
      </w:r>
    </w:p>
    <w:p w14:paraId="63F81D8F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O CONSELHO ESTADUAL DE EDUCAÇÃO aprova, por unanimidade, a</w:t>
      </w:r>
    </w:p>
    <w:p w14:paraId="4092D595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presente Indicação.</w:t>
      </w:r>
    </w:p>
    <w:p w14:paraId="5C189EC7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Sala “Carlos Pasquale”, em 06 de maio de 2015.</w:t>
      </w:r>
    </w:p>
    <w:p w14:paraId="3790167B" w14:textId="77777777"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Cons. Francisco José Carbonari</w:t>
      </w:r>
    </w:p>
    <w:p w14:paraId="2DBB2C86" w14:textId="77777777" w:rsidR="004B1874" w:rsidRPr="00332C62" w:rsidRDefault="004B1874" w:rsidP="00332C62">
      <w:pPr>
        <w:pStyle w:val="Corpodetexto2"/>
        <w:rPr>
          <w:rFonts w:cs="Arial"/>
          <w:b/>
          <w:sz w:val="20"/>
          <w:szCs w:val="20"/>
        </w:rPr>
      </w:pPr>
      <w:r w:rsidRPr="00332C62">
        <w:rPr>
          <w:rFonts w:cs="Arial"/>
          <w:sz w:val="20"/>
          <w:szCs w:val="20"/>
        </w:rPr>
        <w:t>Presidente</w:t>
      </w:r>
    </w:p>
    <w:sectPr w:rsidR="004B1874" w:rsidRPr="00332C62" w:rsidSect="005E5935">
      <w:headerReference w:type="default" r:id="rId8"/>
      <w:pgSz w:w="11907" w:h="16840" w:code="9"/>
      <w:pgMar w:top="1134" w:right="992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B265" w14:textId="77777777" w:rsidR="00E007FA" w:rsidRDefault="00E007FA" w:rsidP="00F15FB3">
      <w:r>
        <w:separator/>
      </w:r>
    </w:p>
  </w:endnote>
  <w:endnote w:type="continuationSeparator" w:id="0">
    <w:p w14:paraId="7CD67B0E" w14:textId="77777777" w:rsidR="00E007FA" w:rsidRDefault="00E007FA" w:rsidP="00F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81EF" w14:textId="77777777" w:rsidR="00E007FA" w:rsidRDefault="00E007FA" w:rsidP="00F15FB3">
      <w:r>
        <w:separator/>
      </w:r>
    </w:p>
  </w:footnote>
  <w:footnote w:type="continuationSeparator" w:id="0">
    <w:p w14:paraId="3F697EC8" w14:textId="77777777" w:rsidR="00E007FA" w:rsidRDefault="00E007FA" w:rsidP="00F1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B693" w14:textId="77777777" w:rsidR="00F15FB3" w:rsidRDefault="00F15FB3" w:rsidP="00F15FB3">
    <w:pPr>
      <w:pStyle w:val="Cabealho"/>
    </w:pPr>
  </w:p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393"/>
      <w:gridCol w:w="1620"/>
    </w:tblGrid>
    <w:tr w:rsidR="00F15FB3" w:rsidRPr="005F5779" w14:paraId="71E3F523" w14:textId="77777777" w:rsidTr="00116C35">
      <w:trPr>
        <w:cantSplit/>
        <w:jc w:val="center"/>
      </w:trPr>
      <w:tc>
        <w:tcPr>
          <w:tcW w:w="1418" w:type="dxa"/>
        </w:tcPr>
        <w:p w14:paraId="7A10F9EB" w14:textId="77777777" w:rsidR="00F15FB3" w:rsidRPr="005F5779" w:rsidRDefault="00F15FB3" w:rsidP="00116C35">
          <w:pPr>
            <w:pStyle w:val="Cabealho"/>
            <w:rPr>
              <w:rFonts w:cs="Arial"/>
              <w:sz w:val="16"/>
              <w:szCs w:val="16"/>
            </w:rPr>
          </w:pPr>
          <w:bookmarkStart w:id="0" w:name="_Hlk516039955"/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68507D45" wp14:editId="72E2B88C">
                <wp:extent cx="580390" cy="588645"/>
                <wp:effectExtent l="1905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</w:tcPr>
        <w:p w14:paraId="7850A860" w14:textId="77777777" w:rsidR="00F15FB3" w:rsidRPr="004F2234" w:rsidRDefault="00F15FB3" w:rsidP="00116C3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4F2234">
            <w:rPr>
              <w:rFonts w:cs="Arial"/>
              <w:b/>
              <w:sz w:val="20"/>
              <w:szCs w:val="20"/>
            </w:rPr>
            <w:t>GOVERNO DO ESTADO DE SÃO PAULO</w:t>
          </w:r>
        </w:p>
        <w:p w14:paraId="49585C64" w14:textId="77777777" w:rsidR="00F15FB3" w:rsidRPr="004F2234" w:rsidRDefault="00F15FB3" w:rsidP="00116C3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4F2234">
            <w:rPr>
              <w:rFonts w:cs="Arial"/>
              <w:b/>
              <w:sz w:val="20"/>
              <w:szCs w:val="20"/>
            </w:rPr>
            <w:t>SECRETARIA DE ESTADO DA EDUCAÇÃO</w:t>
          </w:r>
        </w:p>
        <w:p w14:paraId="5DDD495C" w14:textId="3AA29885" w:rsidR="00F15FB3" w:rsidRPr="005F5779" w:rsidRDefault="00953887" w:rsidP="00116C35">
          <w:pPr>
            <w:pStyle w:val="Cabealh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20"/>
              <w:szCs w:val="20"/>
            </w:rPr>
            <w:t>UNIDADE REGIONAL DE ENSINO DE</w:t>
          </w:r>
          <w:r w:rsidR="00F15FB3" w:rsidRPr="004F2234">
            <w:rPr>
              <w:rFonts w:cs="Arial"/>
              <w:b/>
              <w:sz w:val="20"/>
              <w:szCs w:val="20"/>
            </w:rPr>
            <w:t xml:space="preserve"> OSASCO</w:t>
          </w:r>
        </w:p>
      </w:tc>
      <w:tc>
        <w:tcPr>
          <w:tcW w:w="1620" w:type="dxa"/>
          <w:vAlign w:val="center"/>
        </w:tcPr>
        <w:p w14:paraId="0D5430E2" w14:textId="77777777" w:rsidR="00F15FB3" w:rsidRPr="005F5779" w:rsidRDefault="00F15FB3" w:rsidP="00116C35">
          <w:pPr>
            <w:pStyle w:val="Cabealho"/>
            <w:jc w:val="center"/>
            <w:rPr>
              <w:rFonts w:cs="Arial"/>
              <w:b/>
              <w:sz w:val="16"/>
              <w:szCs w:val="16"/>
            </w:rPr>
          </w:pPr>
        </w:p>
      </w:tc>
    </w:tr>
    <w:bookmarkEnd w:id="0"/>
  </w:tbl>
  <w:p w14:paraId="514031E8" w14:textId="77777777" w:rsidR="00F15FB3" w:rsidRDefault="00F15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73E5"/>
    <w:multiLevelType w:val="hybridMultilevel"/>
    <w:tmpl w:val="AC2C7F62"/>
    <w:lvl w:ilvl="0" w:tplc="B980F4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73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CD6"/>
    <w:rsid w:val="000028E6"/>
    <w:rsid w:val="0005709A"/>
    <w:rsid w:val="00097D5D"/>
    <w:rsid w:val="000E1CBA"/>
    <w:rsid w:val="001370FC"/>
    <w:rsid w:val="00140C80"/>
    <w:rsid w:val="00141C4F"/>
    <w:rsid w:val="001766A2"/>
    <w:rsid w:val="001A412F"/>
    <w:rsid w:val="001C1357"/>
    <w:rsid w:val="00205CD6"/>
    <w:rsid w:val="002229D8"/>
    <w:rsid w:val="00272EB1"/>
    <w:rsid w:val="00273463"/>
    <w:rsid w:val="002B083D"/>
    <w:rsid w:val="002B117B"/>
    <w:rsid w:val="002B2DCD"/>
    <w:rsid w:val="00310883"/>
    <w:rsid w:val="00332C62"/>
    <w:rsid w:val="003C745F"/>
    <w:rsid w:val="003C7610"/>
    <w:rsid w:val="003E2D36"/>
    <w:rsid w:val="004372A2"/>
    <w:rsid w:val="004645AE"/>
    <w:rsid w:val="004A436E"/>
    <w:rsid w:val="004B1874"/>
    <w:rsid w:val="004F08FF"/>
    <w:rsid w:val="005332A6"/>
    <w:rsid w:val="00577CFB"/>
    <w:rsid w:val="00586EC8"/>
    <w:rsid w:val="00590E82"/>
    <w:rsid w:val="005B483B"/>
    <w:rsid w:val="005E5935"/>
    <w:rsid w:val="006234F6"/>
    <w:rsid w:val="006528C7"/>
    <w:rsid w:val="006E4089"/>
    <w:rsid w:val="00732ED0"/>
    <w:rsid w:val="007A2322"/>
    <w:rsid w:val="007F4E37"/>
    <w:rsid w:val="00830FCE"/>
    <w:rsid w:val="008822D1"/>
    <w:rsid w:val="008D1595"/>
    <w:rsid w:val="00953887"/>
    <w:rsid w:val="00972EA4"/>
    <w:rsid w:val="00AC276F"/>
    <w:rsid w:val="00B14339"/>
    <w:rsid w:val="00B65DA3"/>
    <w:rsid w:val="00B9284F"/>
    <w:rsid w:val="00B96CAD"/>
    <w:rsid w:val="00BD3237"/>
    <w:rsid w:val="00BE3B03"/>
    <w:rsid w:val="00C42AB3"/>
    <w:rsid w:val="00C55F1A"/>
    <w:rsid w:val="00D85B94"/>
    <w:rsid w:val="00D94B6F"/>
    <w:rsid w:val="00DE75C4"/>
    <w:rsid w:val="00DF2BA4"/>
    <w:rsid w:val="00E007FA"/>
    <w:rsid w:val="00E650E1"/>
    <w:rsid w:val="00E71E30"/>
    <w:rsid w:val="00F04FE7"/>
    <w:rsid w:val="00F15FB3"/>
    <w:rsid w:val="00F244A3"/>
    <w:rsid w:val="00F55AB6"/>
    <w:rsid w:val="00F65B0D"/>
    <w:rsid w:val="00F9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6D962"/>
  <w15:docId w15:val="{03EC15A0-C143-4749-B987-65EC5F0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36"/>
    <w:rPr>
      <w:rFonts w:ascii="Arial" w:hAnsi="Arial"/>
      <w:sz w:val="28"/>
      <w:szCs w:val="24"/>
    </w:rPr>
  </w:style>
  <w:style w:type="paragraph" w:styleId="Ttulo1">
    <w:name w:val="heading 1"/>
    <w:basedOn w:val="Normal"/>
    <w:next w:val="Normal"/>
    <w:qFormat/>
    <w:rsid w:val="003E2D36"/>
    <w:pPr>
      <w:keepNext/>
      <w:ind w:left="340"/>
      <w:jc w:val="right"/>
      <w:outlineLvl w:val="0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3E2D36"/>
    <w:pPr>
      <w:jc w:val="center"/>
    </w:pPr>
  </w:style>
  <w:style w:type="paragraph" w:styleId="Corpodetexto2">
    <w:name w:val="Body Text 2"/>
    <w:basedOn w:val="Normal"/>
    <w:semiHidden/>
    <w:rsid w:val="003E2D36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15F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FB3"/>
    <w:rPr>
      <w:rFonts w:ascii="Arial" w:hAnsi="Arial"/>
      <w:sz w:val="28"/>
      <w:szCs w:val="24"/>
    </w:rPr>
  </w:style>
  <w:style w:type="paragraph" w:styleId="Rodap">
    <w:name w:val="footer"/>
    <w:basedOn w:val="Normal"/>
    <w:link w:val="RodapChar"/>
    <w:unhideWhenUsed/>
    <w:rsid w:val="00F15F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5FB3"/>
    <w:rPr>
      <w:rFonts w:ascii="Arial" w:hAnsi="Arial"/>
      <w:sz w:val="28"/>
      <w:szCs w:val="24"/>
    </w:rPr>
  </w:style>
  <w:style w:type="character" w:styleId="Forte">
    <w:name w:val="Strong"/>
    <w:basedOn w:val="Fontepargpadro"/>
    <w:uiPriority w:val="22"/>
    <w:qFormat/>
    <w:rsid w:val="00F15F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15F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F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6FCC-EDC7-4BA3-A9DE-4450A9B2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1294</Words>
  <Characters>6992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ORIENTAÇÕES REFERENTES À SOLICITAÇÃO DE EQUIVALÊNCIA DE ESTUDOS</vt:lpstr>
      <vt:lpstr>ORIENTAÇÕES REFERENTES À SOLICITAÇÃO DE EQUIVALÊNCIA DE ESTUDOS</vt:lpstr>
    </vt:vector>
  </TitlesOfParts>
  <Company>FDE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REFERENTES À SOLICITAÇÃO DE EQUIVALÊNCIA DE ESTUDOS</dc:title>
  <dc:creator>MICRO02</dc:creator>
  <cp:lastModifiedBy>Lilian Cristiane De Gouveia Goncalves</cp:lastModifiedBy>
  <cp:revision>20</cp:revision>
  <dcterms:created xsi:type="dcterms:W3CDTF">2018-06-12T12:09:00Z</dcterms:created>
  <dcterms:modified xsi:type="dcterms:W3CDTF">2025-08-12T11:51:00Z</dcterms:modified>
</cp:coreProperties>
</file>