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3EAC5" w14:textId="60FB34C0" w:rsidR="00E44BC2" w:rsidRDefault="00E44BC2"/>
    <w:p w14:paraId="3FEE1581" w14:textId="2F9BDAC7" w:rsidR="00FB7DFA" w:rsidRPr="00A9074C" w:rsidRDefault="00FB7DFA" w:rsidP="00FB7DFA">
      <w:pPr>
        <w:jc w:val="center"/>
        <w:rPr>
          <w:b/>
          <w:bCs/>
        </w:rPr>
      </w:pPr>
      <w:r w:rsidRPr="00A9074C">
        <w:rPr>
          <w:b/>
          <w:bCs/>
        </w:rPr>
        <w:t>ESTUDANTES ELEGÍVEIS À EDUCAÇÃO ESPECIAL</w:t>
      </w:r>
    </w:p>
    <w:p w14:paraId="1C4A6C08" w14:textId="71B4CB74" w:rsidR="006E5E9E" w:rsidRDefault="00FB7DFA" w:rsidP="00FB7DFA">
      <w:pPr>
        <w:jc w:val="center"/>
        <w:rPr>
          <w:b/>
          <w:bCs/>
          <w:color w:val="FF0000"/>
        </w:rPr>
      </w:pPr>
      <w:r>
        <w:rPr>
          <w:b/>
          <w:bCs/>
          <w:color w:val="FF0000"/>
        </w:rPr>
        <w:t xml:space="preserve">DESCRIÇÃO DOS </w:t>
      </w:r>
      <w:r w:rsidRPr="00FB7DFA">
        <w:rPr>
          <w:b/>
          <w:bCs/>
          <w:color w:val="FF0000"/>
        </w:rPr>
        <w:t>NIVEIS DE SUPORTE – (SED)</w:t>
      </w:r>
    </w:p>
    <w:p w14:paraId="4CFB0476" w14:textId="35134508" w:rsidR="00FB7DFA" w:rsidRDefault="00DC4B9E" w:rsidP="00DC4B9E">
      <w:pPr>
        <w:ind w:firstLine="708"/>
        <w:jc w:val="both"/>
        <w:rPr>
          <w:rFonts w:ascii="Arial" w:hAnsi="Arial" w:cs="Arial"/>
        </w:rPr>
      </w:pPr>
      <w:r w:rsidRPr="00403D45">
        <w:rPr>
          <w:rFonts w:ascii="Arial" w:hAnsi="Arial" w:cs="Arial"/>
        </w:rPr>
        <w:t>Após entrar na SED, na barra lateral direita, clicar em:</w:t>
      </w:r>
      <w:r>
        <w:rPr>
          <w:rFonts w:ascii="Arial" w:hAnsi="Arial" w:cs="Arial"/>
        </w:rPr>
        <w:t xml:space="preserve"> </w:t>
      </w:r>
      <w:r w:rsidRPr="00130CF5">
        <w:rPr>
          <w:rFonts w:ascii="Arial" w:hAnsi="Arial" w:cs="Arial"/>
          <w:b/>
          <w:bCs/>
          <w:color w:val="FF0000"/>
        </w:rPr>
        <w:t>Gestão Escolar - Cadastro de Alunos - Informações dos Alunos - Ficha do Aluno</w:t>
      </w:r>
      <w:r>
        <w:rPr>
          <w:rFonts w:ascii="Arial" w:hAnsi="Arial" w:cs="Arial"/>
        </w:rPr>
        <w:t xml:space="preserve"> Em dados do Estudante – na aba </w:t>
      </w:r>
      <w:r w:rsidRPr="00130CF5">
        <w:rPr>
          <w:rFonts w:ascii="Arial" w:hAnsi="Arial" w:cs="Arial"/>
          <w:b/>
          <w:bCs/>
        </w:rPr>
        <w:t>DEFICIÊNCIA</w:t>
      </w:r>
      <w:r>
        <w:rPr>
          <w:rFonts w:ascii="Arial" w:hAnsi="Arial" w:cs="Arial"/>
        </w:rPr>
        <w:t xml:space="preserve"> – localize nível de suporte e clique no indicado: 1, 2 ou 3.</w:t>
      </w:r>
    </w:p>
    <w:p w14:paraId="581274E4" w14:textId="77777777" w:rsidR="00847FDB" w:rsidRPr="00847FDB" w:rsidRDefault="00847FDB" w:rsidP="00847FDB">
      <w:pPr>
        <w:ind w:firstLine="708"/>
        <w:jc w:val="both"/>
        <w:rPr>
          <w:b/>
          <w:bCs/>
          <w:color w:val="FF0000"/>
        </w:rPr>
      </w:pPr>
    </w:p>
    <w:p w14:paraId="27335ABC" w14:textId="77777777" w:rsidR="00847FDB" w:rsidRPr="00847FDB" w:rsidRDefault="00847FDB" w:rsidP="009966AC">
      <w:pPr>
        <w:spacing w:after="0"/>
        <w:ind w:firstLine="708"/>
        <w:jc w:val="both"/>
        <w:rPr>
          <w:rFonts w:ascii="Arial" w:hAnsi="Arial" w:cs="Arial"/>
        </w:rPr>
      </w:pPr>
      <w:r w:rsidRPr="00847FDB">
        <w:rPr>
          <w:rFonts w:ascii="Arial" w:hAnsi="Arial" w:cs="Arial"/>
          <w:b/>
          <w:bCs/>
        </w:rPr>
        <w:t>Nível 1:</w:t>
      </w:r>
      <w:r w:rsidRPr="00847FDB">
        <w:rPr>
          <w:rFonts w:ascii="Arial" w:hAnsi="Arial" w:cs="Arial"/>
        </w:rPr>
        <w:t xml:space="preserve"> O estudante é capaz de realizar a maioria das atividades de forma autônoma, mas ocasionalmente necessita de apoio para amplificar sua comunicação, participação e integração nas diversas demandas de cotidiano em ambiente escolar. Esse apoio pode incluir assistência no uso de tecnologia assistiva, suporte em interações sociais ou adaptações para atender a expectativas mais elevadas. Pode haver a necessidade de auxílio na configuração de dispositivos ou na obtenção de materiais didáticos em formatos acessíveis, como vídeos com legendas, textos com contraste ajustado, ou mudanças na rotina para desenvolver habilidades sociais. O estudante se comunica de diversas maneiras, utilizando fala, expressões faciais, movimentos corporais e gestos, conseguindo expressar-se de forma clara, relatar fatos de maneira coerente e responder a perguntas logicamente. Este estudante apresenta baixíssimo nível de desafio com relação à aderência de normas de convivência, interage bem com outras pessoas, demonstra iniciativa e afeição, participa de eventos sociais e sente-se, na grande maioria do tempo, confortável fora de casa. </w:t>
      </w:r>
    </w:p>
    <w:p w14:paraId="70F83A8E" w14:textId="1D718621" w:rsidR="00847FDB" w:rsidRPr="00847FDB" w:rsidRDefault="00847FDB" w:rsidP="009966AC">
      <w:pPr>
        <w:spacing w:after="0"/>
        <w:ind w:firstLine="708"/>
        <w:jc w:val="both"/>
        <w:rPr>
          <w:rFonts w:ascii="Arial" w:hAnsi="Arial" w:cs="Arial"/>
        </w:rPr>
      </w:pPr>
      <w:r w:rsidRPr="00847FDB">
        <w:rPr>
          <w:rFonts w:ascii="Arial" w:hAnsi="Arial" w:cs="Arial"/>
        </w:rPr>
        <w:t>Em relação aos estudantes que apresentem algum(s) dos comportamentos ou características acima, somado comportamentos e/ou altas habilidades (ou superdotação), considera-se também as particularidades relacionadas à aprendizagem, principalmente em relação ao ritmo e complexidade (sendo muito comum a aprendizagem rápida e sem necessidade de repetição), para avaliação e direcionamento de suporte, voltado à oferta de acessibilidade e enriquecimento curricular.</w:t>
      </w:r>
    </w:p>
    <w:p w14:paraId="3B881A7F" w14:textId="782CA15B" w:rsidR="006E5E9E" w:rsidRPr="00847FDB" w:rsidRDefault="006E5E9E" w:rsidP="009966AC">
      <w:pPr>
        <w:spacing w:after="0"/>
        <w:jc w:val="both"/>
        <w:rPr>
          <w:rFonts w:ascii="Arial" w:hAnsi="Arial" w:cs="Arial"/>
        </w:rPr>
      </w:pPr>
    </w:p>
    <w:p w14:paraId="5002E865" w14:textId="11169BE9" w:rsidR="00E44BC2" w:rsidRPr="00847FDB" w:rsidRDefault="00847FDB" w:rsidP="009966AC">
      <w:pPr>
        <w:spacing w:after="0"/>
        <w:jc w:val="both"/>
        <w:rPr>
          <w:rFonts w:ascii="Arial" w:hAnsi="Arial" w:cs="Arial"/>
          <w:noProof/>
        </w:rPr>
      </w:pPr>
      <w:r w:rsidRPr="00847FDB">
        <w:rPr>
          <w:rFonts w:ascii="Arial" w:hAnsi="Arial" w:cs="Arial"/>
          <w:b/>
          <w:bCs/>
          <w:noProof/>
        </w:rPr>
        <w:t>Nivel 2:</w:t>
      </w:r>
      <w:r w:rsidRPr="00847FDB">
        <w:rPr>
          <w:rFonts w:ascii="Arial" w:hAnsi="Arial" w:cs="Arial"/>
          <w:noProof/>
        </w:rPr>
        <w:t xml:space="preserve"> O estudante necessita de suporte substancial, por apresentar dificuldades que impactam a execução de atividades, podendo apresentar desafios de comunicação e sociabilização. Alguns estudantes podem precisar de apoio socioemocional para lidar com situações desafiadoras que comprometam seus níveis de conforto, inclusive sensoriais. Neste contexto, é muito comum que </w:t>
      </w:r>
      <w:r w:rsidRPr="00847FDB">
        <w:rPr>
          <w:rFonts w:ascii="Arial" w:hAnsi="Arial" w:cs="Arial"/>
          <w:noProof/>
        </w:rPr>
        <w:lastRenderedPageBreak/>
        <w:t>o estudante necessite de ajustes contínuos de rotina, bem como de currículo acessível e material adaptado para execução de atividades e para comunicar-se. Este estudante também poderá requerer apoio para utilização de sistemas digitais e para participar, compreender e realizar atividades em geral. O vocabulário deste estudante apresenta limitações, portanto, ele apresenta dificuldade para compreender e narrar histórias, enfrenta problemas com conceitos temporais e espaciais, demonstrando desinteresse e certa desorganização na execução de suas atividades e zelo pelos materiais.</w:t>
      </w:r>
    </w:p>
    <w:p w14:paraId="1FA20879" w14:textId="77777777" w:rsidR="00847FDB" w:rsidRPr="00847FDB" w:rsidRDefault="00847FDB" w:rsidP="009966AC">
      <w:pPr>
        <w:tabs>
          <w:tab w:val="left" w:pos="1185"/>
        </w:tabs>
        <w:spacing w:after="0"/>
        <w:jc w:val="both"/>
        <w:rPr>
          <w:rFonts w:ascii="Arial" w:hAnsi="Arial" w:cs="Arial"/>
        </w:rPr>
      </w:pPr>
    </w:p>
    <w:p w14:paraId="60C47A8F" w14:textId="5CF79A27" w:rsidR="006E5E9E" w:rsidRPr="00847FDB" w:rsidRDefault="00847FDB" w:rsidP="009966AC">
      <w:pPr>
        <w:tabs>
          <w:tab w:val="left" w:pos="1185"/>
        </w:tabs>
        <w:spacing w:after="0"/>
        <w:jc w:val="both"/>
        <w:rPr>
          <w:rFonts w:ascii="Arial" w:hAnsi="Arial" w:cs="Arial"/>
        </w:rPr>
      </w:pPr>
      <w:r w:rsidRPr="00847FDB">
        <w:rPr>
          <w:rFonts w:ascii="Arial" w:hAnsi="Arial" w:cs="Arial"/>
          <w:b/>
          <w:bCs/>
        </w:rPr>
        <w:t>Nível 3:</w:t>
      </w:r>
      <w:r w:rsidRPr="00847FDB">
        <w:rPr>
          <w:rFonts w:ascii="Arial" w:hAnsi="Arial" w:cs="Arial"/>
        </w:rPr>
        <w:t xml:space="preserve"> O estudante enfrenta déficits severos que afetam profundamente todas as áreas da vida, requerendo apoio muito substancial e contínuo. Ele enfrenta grandes desafios para lidar com mudanças e demandas do ambiente, necessitando de suporte, como ajuda pessoal para participar de atividades escolares, tecnologia assistiva avançada e suporte adaptado para garantir sua participação nas propostas individuais e em grupo, considerando inclusive maior demanda por segurança e garantia de bem- estar no ambiente escolar. Este estudante apresenta corriqueiramente, dificuldades para demonstrar preferências ou fazer escolhas, enfrentando desafios diversos para seguir rotinas e resolver questões, tanto em contextos em que ele já está inserido, quanto em novos ambientes. Ele não identifica situações de perigo com facilidade, dificilmente compreende normas de segurança e pode também não possui autonomia para cuidar de seu próprio bem-estar.</w:t>
      </w:r>
    </w:p>
    <w:sectPr w:rsidR="006E5E9E" w:rsidRPr="00847FDB">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052D1" w14:textId="77777777" w:rsidR="0066210D" w:rsidRDefault="0066210D" w:rsidP="00FB7DFA">
      <w:pPr>
        <w:spacing w:after="0" w:line="240" w:lineRule="auto"/>
      </w:pPr>
      <w:r>
        <w:separator/>
      </w:r>
    </w:p>
  </w:endnote>
  <w:endnote w:type="continuationSeparator" w:id="0">
    <w:p w14:paraId="3DB7ED5E" w14:textId="77777777" w:rsidR="0066210D" w:rsidRDefault="0066210D" w:rsidP="00FB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BEE7" w14:textId="77777777" w:rsidR="00FB7DFA" w:rsidRDefault="00FB7DFA" w:rsidP="00FB7DFA">
    <w:pPr>
      <w:pBdr>
        <w:top w:val="single" w:sz="24" w:space="1" w:color="622423"/>
        <w:left w:val="nil"/>
        <w:bottom w:val="nil"/>
        <w:right w:val="nil"/>
        <w:between w:val="nil"/>
      </w:pBdr>
      <w:tabs>
        <w:tab w:val="center" w:pos="4252"/>
        <w:tab w:val="right" w:pos="8504"/>
      </w:tabs>
      <w:spacing w:after="0" w:line="240" w:lineRule="auto"/>
      <w:jc w:val="center"/>
      <w:rPr>
        <w:rFonts w:ascii="Cambria" w:eastAsia="Cambria" w:hAnsi="Cambria" w:cs="Cambria"/>
        <w:color w:val="000000"/>
      </w:rPr>
    </w:pPr>
    <w:bookmarkStart w:id="0" w:name="_heading=h.30j0zll" w:colFirst="0" w:colLast="0"/>
    <w:bookmarkEnd w:id="0"/>
    <w:r>
      <w:rPr>
        <w:rFonts w:ascii="Cambria" w:eastAsia="Cambria" w:hAnsi="Cambria" w:cs="Cambria"/>
        <w:color w:val="000000"/>
      </w:rPr>
      <w:t>NPE – Núcleo Pedagógico Educacional</w:t>
    </w:r>
  </w:p>
  <w:p w14:paraId="5E1333F9" w14:textId="77777777" w:rsidR="00FB7DFA" w:rsidRDefault="00FB7DF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87DFA" w14:textId="77777777" w:rsidR="0066210D" w:rsidRDefault="0066210D" w:rsidP="00FB7DFA">
      <w:pPr>
        <w:spacing w:after="0" w:line="240" w:lineRule="auto"/>
      </w:pPr>
      <w:r>
        <w:separator/>
      </w:r>
    </w:p>
  </w:footnote>
  <w:footnote w:type="continuationSeparator" w:id="0">
    <w:p w14:paraId="4B25A394" w14:textId="77777777" w:rsidR="0066210D" w:rsidRDefault="0066210D" w:rsidP="00FB7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58" w:type="dxa"/>
      <w:jc w:val="center"/>
      <w:tblBorders>
        <w:top w:val="nil"/>
        <w:left w:val="nil"/>
        <w:bottom w:val="nil"/>
        <w:right w:val="nil"/>
        <w:insideH w:val="nil"/>
        <w:insideV w:val="nil"/>
      </w:tblBorders>
      <w:tblLayout w:type="fixed"/>
      <w:tblLook w:val="0400" w:firstRow="0" w:lastRow="0" w:firstColumn="0" w:lastColumn="0" w:noHBand="0" w:noVBand="1"/>
    </w:tblPr>
    <w:tblGrid>
      <w:gridCol w:w="2199"/>
      <w:gridCol w:w="5534"/>
      <w:gridCol w:w="1925"/>
    </w:tblGrid>
    <w:tr w:rsidR="00FB7DFA" w14:paraId="6DB74070" w14:textId="77777777" w:rsidTr="00D441C5">
      <w:trPr>
        <w:trHeight w:val="1130"/>
        <w:jc w:val="center"/>
      </w:trPr>
      <w:tc>
        <w:tcPr>
          <w:tcW w:w="2127" w:type="dxa"/>
          <w:tcBorders>
            <w:top w:val="nil"/>
            <w:left w:val="nil"/>
            <w:bottom w:val="nil"/>
            <w:right w:val="nil"/>
          </w:tcBorders>
        </w:tcPr>
        <w:p w14:paraId="6AB334B8" w14:textId="77777777" w:rsidR="00FB7DFA" w:rsidRDefault="00FB7DFA" w:rsidP="00FB7DFA">
          <w:pPr>
            <w:pBdr>
              <w:top w:val="nil"/>
              <w:left w:val="nil"/>
              <w:bottom w:val="nil"/>
              <w:right w:val="nil"/>
              <w:between w:val="nil"/>
            </w:pBdr>
            <w:tabs>
              <w:tab w:val="center" w:pos="4252"/>
              <w:tab w:val="right" w:pos="8504"/>
            </w:tabs>
            <w:spacing w:after="0" w:line="240" w:lineRule="auto"/>
            <w:ind w:left="-284"/>
            <w:jc w:val="center"/>
            <w:rPr>
              <w:color w:val="000000"/>
            </w:rPr>
          </w:pPr>
        </w:p>
        <w:p w14:paraId="77FA540D" w14:textId="77777777" w:rsidR="00FB7DFA" w:rsidRDefault="00FB7DFA" w:rsidP="00FB7DFA">
          <w:pPr>
            <w:pBdr>
              <w:top w:val="nil"/>
              <w:left w:val="nil"/>
              <w:bottom w:val="nil"/>
              <w:right w:val="nil"/>
              <w:between w:val="nil"/>
            </w:pBdr>
            <w:tabs>
              <w:tab w:val="center" w:pos="4252"/>
              <w:tab w:val="right" w:pos="8504"/>
            </w:tabs>
            <w:spacing w:after="0" w:line="240" w:lineRule="auto"/>
            <w:ind w:left="-284"/>
            <w:jc w:val="center"/>
            <w:rPr>
              <w:color w:val="000000"/>
            </w:rPr>
          </w:pPr>
        </w:p>
        <w:p w14:paraId="5977756D" w14:textId="77777777" w:rsidR="00FB7DFA" w:rsidRDefault="00FB7DFA" w:rsidP="00FB7DFA">
          <w:pPr>
            <w:pBdr>
              <w:top w:val="nil"/>
              <w:left w:val="nil"/>
              <w:bottom w:val="nil"/>
              <w:right w:val="nil"/>
              <w:between w:val="nil"/>
            </w:pBdr>
            <w:tabs>
              <w:tab w:val="center" w:pos="4252"/>
              <w:tab w:val="right" w:pos="8504"/>
            </w:tabs>
            <w:spacing w:after="0" w:line="240" w:lineRule="auto"/>
            <w:ind w:left="-284"/>
            <w:jc w:val="center"/>
            <w:rPr>
              <w:color w:val="000000"/>
            </w:rPr>
          </w:pPr>
          <w:r>
            <w:rPr>
              <w:color w:val="000000"/>
            </w:rPr>
            <w:t xml:space="preserve">        </w:t>
          </w:r>
          <w:r>
            <w:rPr>
              <w:noProof/>
              <w:color w:val="000000"/>
            </w:rPr>
            <w:drawing>
              <wp:inline distT="0" distB="0" distL="0" distR="0" wp14:anchorId="2A300AB1" wp14:editId="1016E179">
                <wp:extent cx="1061370" cy="660271"/>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835" r="69660" b="9849"/>
                        <a:stretch>
                          <a:fillRect/>
                        </a:stretch>
                      </pic:blipFill>
                      <pic:spPr>
                        <a:xfrm>
                          <a:off x="0" y="0"/>
                          <a:ext cx="1061370" cy="660271"/>
                        </a:xfrm>
                        <a:prstGeom prst="rect">
                          <a:avLst/>
                        </a:prstGeom>
                        <a:ln/>
                      </pic:spPr>
                    </pic:pic>
                  </a:graphicData>
                </a:graphic>
              </wp:inline>
            </w:drawing>
          </w:r>
        </w:p>
      </w:tc>
      <w:tc>
        <w:tcPr>
          <w:tcW w:w="5352" w:type="dxa"/>
          <w:tcBorders>
            <w:top w:val="nil"/>
            <w:left w:val="nil"/>
            <w:bottom w:val="nil"/>
            <w:right w:val="nil"/>
          </w:tcBorders>
          <w:vAlign w:val="bottom"/>
        </w:tcPr>
        <w:p w14:paraId="56E0B66E" w14:textId="77777777" w:rsidR="00FB7DFA" w:rsidRDefault="00FB7DFA" w:rsidP="00FB7DFA">
          <w:pPr>
            <w:pBdr>
              <w:top w:val="nil"/>
              <w:left w:val="nil"/>
              <w:bottom w:val="nil"/>
              <w:right w:val="nil"/>
              <w:between w:val="nil"/>
            </w:pBdr>
            <w:tabs>
              <w:tab w:val="center" w:pos="4252"/>
              <w:tab w:val="right" w:pos="8504"/>
            </w:tabs>
            <w:spacing w:after="0" w:line="240" w:lineRule="auto"/>
            <w:jc w:val="center"/>
            <w:rPr>
              <w:b/>
              <w:color w:val="000000"/>
              <w:sz w:val="8"/>
              <w:szCs w:val="8"/>
            </w:rPr>
          </w:pPr>
        </w:p>
        <w:p w14:paraId="05C38004" w14:textId="77777777" w:rsidR="00FB7DFA" w:rsidRDefault="00FB7DFA" w:rsidP="00FB7DFA">
          <w:pPr>
            <w:pBdr>
              <w:top w:val="nil"/>
              <w:left w:val="nil"/>
              <w:bottom w:val="nil"/>
              <w:right w:val="nil"/>
              <w:between w:val="nil"/>
            </w:pBdr>
            <w:tabs>
              <w:tab w:val="center" w:pos="4252"/>
              <w:tab w:val="right" w:pos="8504"/>
            </w:tabs>
            <w:spacing w:after="0" w:line="240" w:lineRule="auto"/>
            <w:jc w:val="center"/>
            <w:rPr>
              <w:b/>
              <w:color w:val="000000"/>
            </w:rPr>
          </w:pPr>
          <w:r>
            <w:rPr>
              <w:b/>
              <w:color w:val="000000"/>
            </w:rPr>
            <w:t>GOVERNO DO ESTADO DE SÃO PAULO</w:t>
          </w:r>
        </w:p>
        <w:p w14:paraId="3812DC11" w14:textId="77777777" w:rsidR="00FB7DFA" w:rsidRDefault="00FB7DFA" w:rsidP="00FB7DFA">
          <w:pPr>
            <w:pBdr>
              <w:top w:val="nil"/>
              <w:left w:val="nil"/>
              <w:bottom w:val="nil"/>
              <w:right w:val="nil"/>
              <w:between w:val="nil"/>
            </w:pBdr>
            <w:tabs>
              <w:tab w:val="center" w:pos="4252"/>
              <w:tab w:val="right" w:pos="8504"/>
            </w:tabs>
            <w:spacing w:after="0" w:line="240" w:lineRule="auto"/>
            <w:jc w:val="center"/>
            <w:rPr>
              <w:b/>
              <w:color w:val="000000"/>
            </w:rPr>
          </w:pPr>
          <w:r>
            <w:rPr>
              <w:b/>
              <w:color w:val="000000"/>
            </w:rPr>
            <w:t>SECRETARIA DE ESTADO DA EDUCAÇÃO</w:t>
          </w:r>
        </w:p>
        <w:p w14:paraId="46913E02" w14:textId="77777777" w:rsidR="00FB7DFA" w:rsidRDefault="00FB7DFA" w:rsidP="00FB7DFA">
          <w:pPr>
            <w:pBdr>
              <w:top w:val="nil"/>
              <w:left w:val="nil"/>
              <w:bottom w:val="nil"/>
              <w:right w:val="nil"/>
              <w:between w:val="nil"/>
            </w:pBdr>
            <w:tabs>
              <w:tab w:val="center" w:pos="4252"/>
              <w:tab w:val="right" w:pos="8504"/>
            </w:tabs>
            <w:spacing w:after="0" w:line="240" w:lineRule="auto"/>
            <w:jc w:val="center"/>
            <w:rPr>
              <w:b/>
              <w:color w:val="000000"/>
            </w:rPr>
          </w:pPr>
          <w:r>
            <w:rPr>
              <w:b/>
              <w:color w:val="000000"/>
            </w:rPr>
            <w:t>DIRETORIA DE ENSINO - REGIÃO NORTE 2</w:t>
          </w:r>
        </w:p>
        <w:p w14:paraId="4D04B7A8" w14:textId="77777777" w:rsidR="00FB7DFA" w:rsidRDefault="00FB7DFA" w:rsidP="00FB7DFA">
          <w:pPr>
            <w:pBdr>
              <w:top w:val="nil"/>
              <w:left w:val="nil"/>
              <w:bottom w:val="nil"/>
              <w:right w:val="nil"/>
              <w:between w:val="nil"/>
            </w:pBdr>
            <w:tabs>
              <w:tab w:val="center" w:pos="4252"/>
              <w:tab w:val="right" w:pos="8504"/>
            </w:tabs>
            <w:spacing w:after="0" w:line="240" w:lineRule="auto"/>
            <w:rPr>
              <w:b/>
              <w:color w:val="000000"/>
              <w:sz w:val="8"/>
              <w:szCs w:val="8"/>
            </w:rPr>
          </w:pPr>
        </w:p>
        <w:p w14:paraId="49067535" w14:textId="77777777" w:rsidR="00FB7DFA" w:rsidRDefault="00FB7DFA" w:rsidP="00FB7DFA">
          <w:pPr>
            <w:pBdr>
              <w:top w:val="nil"/>
              <w:left w:val="nil"/>
              <w:bottom w:val="nil"/>
              <w:right w:val="nil"/>
              <w:between w:val="nil"/>
            </w:pBdr>
            <w:tabs>
              <w:tab w:val="center" w:pos="4252"/>
              <w:tab w:val="right" w:pos="8504"/>
            </w:tabs>
            <w:spacing w:after="0" w:line="240" w:lineRule="auto"/>
            <w:rPr>
              <w:b/>
              <w:color w:val="000000"/>
              <w:sz w:val="8"/>
              <w:szCs w:val="8"/>
            </w:rPr>
          </w:pPr>
        </w:p>
      </w:tc>
      <w:tc>
        <w:tcPr>
          <w:tcW w:w="1862" w:type="dxa"/>
          <w:tcBorders>
            <w:top w:val="nil"/>
            <w:left w:val="nil"/>
            <w:bottom w:val="nil"/>
            <w:right w:val="nil"/>
          </w:tcBorders>
          <w:vAlign w:val="center"/>
        </w:tcPr>
        <w:p w14:paraId="17CB4F8B" w14:textId="77777777" w:rsidR="00FB7DFA" w:rsidRDefault="00FB7DFA" w:rsidP="00FB7DFA">
          <w:pPr>
            <w:pBdr>
              <w:top w:val="nil"/>
              <w:left w:val="nil"/>
              <w:bottom w:val="nil"/>
              <w:right w:val="nil"/>
              <w:between w:val="nil"/>
            </w:pBdr>
            <w:tabs>
              <w:tab w:val="center" w:pos="4252"/>
              <w:tab w:val="right" w:pos="8504"/>
            </w:tabs>
            <w:spacing w:after="0" w:line="240" w:lineRule="auto"/>
            <w:ind w:left="-108"/>
            <w:jc w:val="center"/>
          </w:pPr>
          <w:r>
            <w:rPr>
              <w:noProof/>
            </w:rPr>
            <w:drawing>
              <wp:inline distT="0" distB="0" distL="0" distR="0" wp14:anchorId="58D4A923" wp14:editId="716976CF">
                <wp:extent cx="1038225" cy="507576"/>
                <wp:effectExtent l="0" t="0" r="0" b="0"/>
                <wp:docPr id="12" name="image1.png" descr="LOGO DIRETORIA"/>
                <wp:cNvGraphicFramePr/>
                <a:graphic xmlns:a="http://schemas.openxmlformats.org/drawingml/2006/main">
                  <a:graphicData uri="http://schemas.openxmlformats.org/drawingml/2006/picture">
                    <pic:pic xmlns:pic="http://schemas.openxmlformats.org/drawingml/2006/picture">
                      <pic:nvPicPr>
                        <pic:cNvPr id="0" name="image1.png" descr="LOGO DIRETORIA"/>
                        <pic:cNvPicPr preferRelativeResize="0"/>
                      </pic:nvPicPr>
                      <pic:blipFill>
                        <a:blip r:embed="rId2"/>
                        <a:srcRect/>
                        <a:stretch>
                          <a:fillRect/>
                        </a:stretch>
                      </pic:blipFill>
                      <pic:spPr>
                        <a:xfrm>
                          <a:off x="0" y="0"/>
                          <a:ext cx="1038225" cy="507576"/>
                        </a:xfrm>
                        <a:prstGeom prst="rect">
                          <a:avLst/>
                        </a:prstGeom>
                        <a:ln/>
                      </pic:spPr>
                    </pic:pic>
                  </a:graphicData>
                </a:graphic>
              </wp:inline>
            </w:drawing>
          </w:r>
        </w:p>
      </w:tc>
    </w:tr>
  </w:tbl>
  <w:p w14:paraId="4E20CC5F" w14:textId="77777777" w:rsidR="00FB7DFA" w:rsidRDefault="00FB7DF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BC2"/>
    <w:rsid w:val="000145BD"/>
    <w:rsid w:val="000F1521"/>
    <w:rsid w:val="0028055F"/>
    <w:rsid w:val="0066210D"/>
    <w:rsid w:val="006E5E9E"/>
    <w:rsid w:val="00847FDB"/>
    <w:rsid w:val="009966AC"/>
    <w:rsid w:val="00A70228"/>
    <w:rsid w:val="00A9074C"/>
    <w:rsid w:val="00C47ACB"/>
    <w:rsid w:val="00C8519F"/>
    <w:rsid w:val="00DC4B9E"/>
    <w:rsid w:val="00E44BC2"/>
    <w:rsid w:val="00F72B5B"/>
    <w:rsid w:val="00FA51F9"/>
    <w:rsid w:val="00FB7D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6CAF5"/>
  <w15:chartTrackingRefBased/>
  <w15:docId w15:val="{545DE721-783A-49D6-A3C0-4C641B63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E44B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E44B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E44BC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E44BC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E44BC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E44BC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44BC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44BC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44BC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44BC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E44BC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E44BC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E44BC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E44BC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E44BC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44BC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44BC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44BC2"/>
    <w:rPr>
      <w:rFonts w:eastAsiaTheme="majorEastAsia" w:cstheme="majorBidi"/>
      <w:color w:val="272727" w:themeColor="text1" w:themeTint="D8"/>
    </w:rPr>
  </w:style>
  <w:style w:type="paragraph" w:styleId="Ttulo">
    <w:name w:val="Title"/>
    <w:basedOn w:val="Normal"/>
    <w:next w:val="Normal"/>
    <w:link w:val="TtuloChar"/>
    <w:uiPriority w:val="10"/>
    <w:qFormat/>
    <w:rsid w:val="00E44B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44BC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44BC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44BC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44BC2"/>
    <w:pPr>
      <w:spacing w:before="160"/>
      <w:jc w:val="center"/>
    </w:pPr>
    <w:rPr>
      <w:i/>
      <w:iCs/>
      <w:color w:val="404040" w:themeColor="text1" w:themeTint="BF"/>
    </w:rPr>
  </w:style>
  <w:style w:type="character" w:customStyle="1" w:styleId="CitaoChar">
    <w:name w:val="Citação Char"/>
    <w:basedOn w:val="Fontepargpadro"/>
    <w:link w:val="Citao"/>
    <w:uiPriority w:val="29"/>
    <w:rsid w:val="00E44BC2"/>
    <w:rPr>
      <w:i/>
      <w:iCs/>
      <w:color w:val="404040" w:themeColor="text1" w:themeTint="BF"/>
    </w:rPr>
  </w:style>
  <w:style w:type="paragraph" w:styleId="PargrafodaLista">
    <w:name w:val="List Paragraph"/>
    <w:basedOn w:val="Normal"/>
    <w:uiPriority w:val="34"/>
    <w:qFormat/>
    <w:rsid w:val="00E44BC2"/>
    <w:pPr>
      <w:ind w:left="720"/>
      <w:contextualSpacing/>
    </w:pPr>
  </w:style>
  <w:style w:type="character" w:styleId="nfaseIntensa">
    <w:name w:val="Intense Emphasis"/>
    <w:basedOn w:val="Fontepargpadro"/>
    <w:uiPriority w:val="21"/>
    <w:qFormat/>
    <w:rsid w:val="00E44BC2"/>
    <w:rPr>
      <w:i/>
      <w:iCs/>
      <w:color w:val="0F4761" w:themeColor="accent1" w:themeShade="BF"/>
    </w:rPr>
  </w:style>
  <w:style w:type="paragraph" w:styleId="CitaoIntensa">
    <w:name w:val="Intense Quote"/>
    <w:basedOn w:val="Normal"/>
    <w:next w:val="Normal"/>
    <w:link w:val="CitaoIntensaChar"/>
    <w:uiPriority w:val="30"/>
    <w:qFormat/>
    <w:rsid w:val="00E44B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E44BC2"/>
    <w:rPr>
      <w:i/>
      <w:iCs/>
      <w:color w:val="0F4761" w:themeColor="accent1" w:themeShade="BF"/>
    </w:rPr>
  </w:style>
  <w:style w:type="character" w:styleId="RefernciaIntensa">
    <w:name w:val="Intense Reference"/>
    <w:basedOn w:val="Fontepargpadro"/>
    <w:uiPriority w:val="32"/>
    <w:qFormat/>
    <w:rsid w:val="00E44BC2"/>
    <w:rPr>
      <w:b/>
      <w:bCs/>
      <w:smallCaps/>
      <w:color w:val="0F4761" w:themeColor="accent1" w:themeShade="BF"/>
      <w:spacing w:val="5"/>
    </w:rPr>
  </w:style>
  <w:style w:type="paragraph" w:styleId="Cabealho">
    <w:name w:val="header"/>
    <w:basedOn w:val="Normal"/>
    <w:link w:val="CabealhoChar"/>
    <w:uiPriority w:val="99"/>
    <w:unhideWhenUsed/>
    <w:rsid w:val="00FB7D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B7DFA"/>
  </w:style>
  <w:style w:type="paragraph" w:styleId="Rodap">
    <w:name w:val="footer"/>
    <w:basedOn w:val="Normal"/>
    <w:link w:val="RodapChar"/>
    <w:uiPriority w:val="99"/>
    <w:unhideWhenUsed/>
    <w:rsid w:val="00FB7DFA"/>
    <w:pPr>
      <w:tabs>
        <w:tab w:val="center" w:pos="4252"/>
        <w:tab w:val="right" w:pos="8504"/>
      </w:tabs>
      <w:spacing w:after="0" w:line="240" w:lineRule="auto"/>
    </w:pPr>
  </w:style>
  <w:style w:type="character" w:customStyle="1" w:styleId="RodapChar">
    <w:name w:val="Rodapé Char"/>
    <w:basedOn w:val="Fontepargpadro"/>
    <w:link w:val="Rodap"/>
    <w:uiPriority w:val="99"/>
    <w:rsid w:val="00FB7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20042f9-5acf-4474-b268-ee4a1be6ca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220D888D64BDE4592CD2D703D474CE5" ma:contentTypeVersion="10" ma:contentTypeDescription="Crie um novo documento." ma:contentTypeScope="" ma:versionID="7e16c9d2ea548b50e4bafb493043e138">
  <xsd:schema xmlns:xsd="http://www.w3.org/2001/XMLSchema" xmlns:xs="http://www.w3.org/2001/XMLSchema" xmlns:p="http://schemas.microsoft.com/office/2006/metadata/properties" xmlns:ns3="720042f9-5acf-4474-b268-ee4a1be6caa5" targetNamespace="http://schemas.microsoft.com/office/2006/metadata/properties" ma:root="true" ma:fieldsID="a2cae7c5d471742521da4b973e139f91" ns3:_="">
    <xsd:import namespace="720042f9-5acf-4474-b268-ee4a1be6caa5"/>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042f9-5acf-4474-b268-ee4a1be6c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04F45A-4C02-488F-B413-F667FC2E888C}">
  <ds:schemaRefs>
    <ds:schemaRef ds:uri="http://schemas.microsoft.com/office/2006/metadata/properties"/>
    <ds:schemaRef ds:uri="http://schemas.microsoft.com/office/infopath/2007/PartnerControls"/>
    <ds:schemaRef ds:uri="720042f9-5acf-4474-b268-ee4a1be6caa5"/>
  </ds:schemaRefs>
</ds:datastoreItem>
</file>

<file path=customXml/itemProps2.xml><?xml version="1.0" encoding="utf-8"?>
<ds:datastoreItem xmlns:ds="http://schemas.openxmlformats.org/officeDocument/2006/customXml" ds:itemID="{4B1C5FE4-8A6F-4BAE-BDA0-10EC9FDFA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042f9-5acf-4474-b268-ee4a1be6c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D516CC-D585-411A-B2F1-B2341D8C52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3220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 CRISTINA DE ARO GARCIA</dc:creator>
  <cp:keywords/>
  <dc:description/>
  <cp:lastModifiedBy>Paulo Henrique De Souza</cp:lastModifiedBy>
  <cp:revision>2</cp:revision>
  <dcterms:created xsi:type="dcterms:W3CDTF">2025-04-24T19:35:00Z</dcterms:created>
  <dcterms:modified xsi:type="dcterms:W3CDTF">2025-04-24T19:35:00Z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0x0101002220D888D64BDE4592CD2D703D474CE5</vt:lpwstr>
  </property>
</Properties>
</file>