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29"/>
        <w:rPr>
          <w:rFonts w:ascii="Times New Roman"/>
        </w:rPr>
      </w:pPr>
    </w:p>
    <w:p>
      <w:pPr>
        <w:pStyle w:val="Heading1"/>
        <w:ind w:left="0" w:right="73"/>
        <w:jc w:val="center"/>
      </w:pPr>
      <w:r>
        <w:rPr/>
        <w:t>TERMO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CIÊNCIA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NOTIFICAÇÃO</w:t>
      </w:r>
      <w:r>
        <w:rPr>
          <w:spacing w:val="-3"/>
        </w:rPr>
        <w:t> </w:t>
      </w:r>
      <w:r>
        <w:rPr>
          <w:spacing w:val="-2"/>
        </w:rPr>
        <w:t>(APOSENTADORIA)</w:t>
      </w:r>
    </w:p>
    <w:p>
      <w:pPr>
        <w:pStyle w:val="Title"/>
      </w:pPr>
      <w:r>
        <w:rPr/>
        <w:t>(REDAÇÃO</w:t>
      </w:r>
      <w:r>
        <w:rPr>
          <w:spacing w:val="-9"/>
        </w:rPr>
        <w:t> </w:t>
      </w:r>
      <w:r>
        <w:rPr/>
        <w:t>DADA</w:t>
      </w:r>
      <w:r>
        <w:rPr>
          <w:spacing w:val="-6"/>
        </w:rPr>
        <w:t> </w:t>
      </w:r>
      <w:r>
        <w:rPr/>
        <w:t>PELA</w:t>
      </w:r>
      <w:r>
        <w:rPr>
          <w:spacing w:val="-5"/>
        </w:rPr>
        <w:t> </w:t>
      </w:r>
      <w:r>
        <w:rPr/>
        <w:t>RESOLUÇÃO</w:t>
      </w:r>
      <w:r>
        <w:rPr>
          <w:spacing w:val="-7"/>
        </w:rPr>
        <w:t> </w:t>
      </w:r>
      <w:r>
        <w:rPr/>
        <w:t>Nº</w:t>
      </w:r>
      <w:r>
        <w:rPr>
          <w:spacing w:val="-4"/>
        </w:rPr>
        <w:t> </w:t>
      </w:r>
      <w:r>
        <w:rPr>
          <w:spacing w:val="-2"/>
        </w:rPr>
        <w:t>11/2021)</w:t>
      </w:r>
    </w:p>
    <w:p>
      <w:pPr>
        <w:pStyle w:val="BodyText"/>
        <w:rPr>
          <w:rFonts w:ascii="Calibri"/>
          <w:sz w:val="27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14"/>
        <w:rPr>
          <w:rFonts w:ascii="Calibri"/>
          <w:sz w:val="27"/>
        </w:rPr>
      </w:pPr>
    </w:p>
    <w:p>
      <w:pPr>
        <w:pStyle w:val="Heading1"/>
        <w:spacing w:before="1"/>
      </w:pPr>
      <w:r>
        <w:rPr/>
        <w:t>ÓRGÃO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ENTIDADE:</w:t>
      </w:r>
      <w:r>
        <w:rPr>
          <w:spacing w:val="-4"/>
        </w:rPr>
        <w:t> </w:t>
      </w:r>
      <w:r>
        <w:rPr/>
        <w:t>SÃO</w:t>
      </w:r>
      <w:r>
        <w:rPr>
          <w:spacing w:val="-3"/>
        </w:rPr>
        <w:t> </w:t>
      </w:r>
      <w:r>
        <w:rPr/>
        <w:t>PAULO</w:t>
      </w:r>
      <w:r>
        <w:rPr>
          <w:spacing w:val="-4"/>
        </w:rPr>
        <w:t> </w:t>
      </w:r>
      <w:r>
        <w:rPr/>
        <w:t>PREVIDÊNCIA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SPPREV</w:t>
      </w:r>
    </w:p>
    <w:p>
      <w:pPr>
        <w:tabs>
          <w:tab w:pos="9177" w:val="left" w:leader="none"/>
        </w:tabs>
        <w:spacing w:line="276" w:lineRule="auto" w:before="41"/>
        <w:ind w:left="101" w:right="17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N° (DE ORIGEM):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pacing w:val="-57"/>
          <w:sz w:val="24"/>
          <w:u w:val="single"/>
        </w:rPr>
        <w:t> </w:t>
      </w:r>
      <w:r>
        <w:rPr>
          <w:rFonts w:ascii="Arial" w:hAnsi="Arial"/>
          <w:b/>
          <w:sz w:val="24"/>
        </w:rPr>
        <w:t> INTERESSADO(A): </w:t>
      </w:r>
      <w:r>
        <w:rPr>
          <w:rFonts w:ascii="Arial" w:hAnsi="Arial"/>
          <w:b/>
          <w:sz w:val="24"/>
          <w:u w:val="single"/>
        </w:rPr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3"/>
        <w:rPr>
          <w:rFonts w:ascii="Arial"/>
          <w:b/>
        </w:rPr>
      </w:pPr>
    </w:p>
    <w:p>
      <w:pPr>
        <w:pStyle w:val="BodyText"/>
        <w:ind w:left="101"/>
      </w:pPr>
      <w:r>
        <w:rPr/>
        <w:t>Pelo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>
          <w:rFonts w:ascii="Arial" w:hAnsi="Arial"/>
          <w:b/>
        </w:rPr>
        <w:t>TERMO</w:t>
      </w:r>
      <w:r>
        <w:rPr/>
        <w:t>,</w:t>
      </w:r>
      <w:r>
        <w:rPr>
          <w:spacing w:val="-3"/>
        </w:rPr>
        <w:t> </w:t>
      </w:r>
      <w:r>
        <w:rPr/>
        <w:t>nós,</w:t>
      </w:r>
      <w:r>
        <w:rPr>
          <w:spacing w:val="-6"/>
        </w:rPr>
        <w:t> </w:t>
      </w:r>
      <w:r>
        <w:rPr/>
        <w:t>abaixo</w:t>
      </w:r>
      <w:r>
        <w:rPr>
          <w:spacing w:val="-3"/>
        </w:rPr>
        <w:t> </w:t>
      </w:r>
      <w:r>
        <w:rPr>
          <w:spacing w:val="-2"/>
        </w:rPr>
        <w:t>identificados:</w:t>
      </w:r>
    </w:p>
    <w:p>
      <w:pPr>
        <w:pStyle w:val="BodyText"/>
        <w:spacing w:before="81"/>
      </w:pPr>
    </w:p>
    <w:p>
      <w:pPr>
        <w:pStyle w:val="Heading2"/>
        <w:numPr>
          <w:ilvl w:val="0"/>
          <w:numId w:val="1"/>
        </w:numPr>
        <w:tabs>
          <w:tab w:pos="1166" w:val="left" w:leader="none"/>
        </w:tabs>
        <w:spacing w:line="240" w:lineRule="auto" w:before="1" w:after="0"/>
        <w:ind w:left="1166" w:right="0" w:hanging="705"/>
        <w:jc w:val="left"/>
      </w:pPr>
      <w:r>
        <w:rPr/>
        <w:t>Estamos</w:t>
      </w:r>
      <w:r>
        <w:rPr>
          <w:spacing w:val="-3"/>
        </w:rPr>
        <w:t> </w:t>
      </w:r>
      <w:r>
        <w:rPr/>
        <w:t>CIENTES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que:</w:t>
      </w:r>
    </w:p>
    <w:p>
      <w:pPr>
        <w:pStyle w:val="BodyText"/>
        <w:spacing w:before="83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6" w:val="left" w:leader="none"/>
        </w:tabs>
        <w:spacing w:line="276" w:lineRule="auto" w:before="1" w:after="0"/>
        <w:ind w:left="1526" w:right="177" w:hanging="360"/>
        <w:jc w:val="both"/>
        <w:rPr>
          <w:sz w:val="24"/>
        </w:rPr>
      </w:pPr>
      <w:r>
        <w:rPr>
          <w:sz w:val="24"/>
        </w:rPr>
        <w:t>o ato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acima referido, objetivando seu registro</w:t>
      </w:r>
      <w:r>
        <w:rPr>
          <w:spacing w:val="-2"/>
          <w:sz w:val="24"/>
        </w:rPr>
        <w:t> </w:t>
      </w:r>
      <w:r>
        <w:rPr>
          <w:sz w:val="24"/>
        </w:rPr>
        <w:t>pelo Tribunal de Contas do Estado de São Paulo, será objeto de prévia análise, cujo trâmite processual ocorrerá pelo sistema eletrônico;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6" w:val="left" w:leader="none"/>
        </w:tabs>
        <w:spacing w:line="276" w:lineRule="auto" w:before="0" w:after="0"/>
        <w:ind w:left="1526" w:right="168" w:hanging="360"/>
        <w:jc w:val="both"/>
        <w:rPr>
          <w:sz w:val="24"/>
        </w:rPr>
      </w:pPr>
      <w:r>
        <w:rPr>
          <w:sz w:val="24"/>
        </w:rPr>
        <w:t>poderemos ter acesso ao processo, tendo vista e extraindo cópias das manifestações de interesse, Despachos e Decisões, cabendo, para tanto, procedermos à regular habilitação no Sistema de Processo Eletrônico, na conformidade do quanto estabelece a Resolução n° 01/2011 do TCESP;</w:t>
      </w:r>
    </w:p>
    <w:p>
      <w:pPr>
        <w:pStyle w:val="ListParagraph"/>
        <w:numPr>
          <w:ilvl w:val="1"/>
          <w:numId w:val="1"/>
        </w:numPr>
        <w:tabs>
          <w:tab w:pos="1526" w:val="left" w:leader="none"/>
        </w:tabs>
        <w:spacing w:line="276" w:lineRule="auto" w:before="0" w:after="0"/>
        <w:ind w:left="1526" w:right="173" w:hanging="360"/>
        <w:jc w:val="both"/>
        <w:rPr>
          <w:sz w:val="24"/>
        </w:rPr>
      </w:pPr>
      <w:r>
        <w:rPr>
          <w:sz w:val="24"/>
        </w:rPr>
        <w:t>além</w:t>
      </w:r>
      <w:r>
        <w:rPr>
          <w:sz w:val="24"/>
        </w:rPr>
        <w:t> de</w:t>
      </w:r>
      <w:r>
        <w:rPr>
          <w:sz w:val="24"/>
        </w:rPr>
        <w:t> disponíveis</w:t>
      </w:r>
      <w:r>
        <w:rPr>
          <w:sz w:val="24"/>
        </w:rPr>
        <w:t> no</w:t>
      </w:r>
      <w:r>
        <w:rPr>
          <w:sz w:val="24"/>
        </w:rPr>
        <w:t> processo</w:t>
      </w:r>
      <w:r>
        <w:rPr>
          <w:sz w:val="24"/>
        </w:rPr>
        <w:t> eletrônico, todos os Despachos e Decisões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vierem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tomados,</w:t>
      </w:r>
      <w:r>
        <w:rPr>
          <w:spacing w:val="-6"/>
          <w:sz w:val="24"/>
        </w:rPr>
        <w:t> </w:t>
      </w:r>
      <w:r>
        <w:rPr>
          <w:sz w:val="24"/>
        </w:rPr>
        <w:t>relativamente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aludido</w:t>
      </w:r>
      <w:r>
        <w:rPr>
          <w:spacing w:val="-6"/>
          <w:sz w:val="24"/>
        </w:rPr>
        <w:t> </w:t>
      </w:r>
      <w:r>
        <w:rPr>
          <w:sz w:val="24"/>
        </w:rPr>
        <w:t>processo, serão publicados no Diário Oficial do Estado, Caderno do Poder Legislativo, parte do Tribunal de Contas do Estado de São Paulo, em conformidade com o artigo 90 da Lei Complementar n° 709, de 14 de janeiro de 1993, iniciando-se, a partir de então, a contagem dos prazos processuais, conforme regras do Código de Processo Civil;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6" w:val="left" w:leader="none"/>
        </w:tabs>
        <w:spacing w:line="276" w:lineRule="auto" w:before="0" w:after="0"/>
        <w:ind w:left="1526" w:right="171" w:hanging="360"/>
        <w:jc w:val="both"/>
        <w:rPr>
          <w:sz w:val="24"/>
        </w:rPr>
      </w:pPr>
      <w:r>
        <w:rPr>
          <w:sz w:val="24"/>
        </w:rPr>
        <w:t>as</w:t>
      </w:r>
      <w:r>
        <w:rPr>
          <w:sz w:val="24"/>
        </w:rPr>
        <w:t> informações</w:t>
      </w:r>
      <w:r>
        <w:rPr>
          <w:sz w:val="24"/>
        </w:rPr>
        <w:t> pessoais</w:t>
      </w:r>
      <w:r>
        <w:rPr>
          <w:sz w:val="24"/>
        </w:rPr>
        <w:t> dos</w:t>
      </w:r>
      <w:r>
        <w:rPr>
          <w:sz w:val="24"/>
        </w:rPr>
        <w:t> responsáveis</w:t>
      </w:r>
      <w:r>
        <w:rPr>
          <w:sz w:val="24"/>
        </w:rPr>
        <w:t> pelo</w:t>
      </w:r>
      <w:r>
        <w:rPr>
          <w:sz w:val="24"/>
        </w:rPr>
        <w:t> órgão/entidade e interessados estão cadastradas no módulo eletrônico do "Cadastro Corporativo TCESP — CadTCESP", nos termos previstos no Artigo 2° das Instruções n°01/2020, conforme "Declaração(ões) de Atualização Cadastral" anexa (s);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6" w:val="left" w:leader="none"/>
        </w:tabs>
        <w:spacing w:line="276" w:lineRule="auto" w:before="1" w:after="0"/>
        <w:ind w:left="1526" w:right="180" w:hanging="360"/>
        <w:jc w:val="both"/>
        <w:rPr>
          <w:sz w:val="24"/>
        </w:rPr>
      </w:pPr>
      <w:r>
        <w:rPr>
          <w:sz w:val="24"/>
        </w:rPr>
        <w:t>as informações pessoais do(a) interessado(a) deverão ser mantidas no órgão/entidade de origem para eventual solicitação do TCESP;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6" w:val="left" w:leader="none"/>
        </w:tabs>
        <w:spacing w:line="276" w:lineRule="auto" w:before="0" w:after="0"/>
        <w:ind w:left="1526" w:right="171" w:hanging="360"/>
        <w:jc w:val="both"/>
        <w:rPr>
          <w:sz w:val="24"/>
        </w:rPr>
      </w:pPr>
      <w:r>
        <w:rPr>
          <w:sz w:val="24"/>
        </w:rPr>
        <w:t>no</w:t>
      </w:r>
      <w:r>
        <w:rPr>
          <w:sz w:val="24"/>
        </w:rPr>
        <w:t> caso</w:t>
      </w:r>
      <w:r>
        <w:rPr>
          <w:sz w:val="24"/>
        </w:rPr>
        <w:t> de</w:t>
      </w:r>
      <w:r>
        <w:rPr>
          <w:sz w:val="24"/>
        </w:rPr>
        <w:t> habilitação</w:t>
      </w:r>
      <w:r>
        <w:rPr>
          <w:sz w:val="24"/>
        </w:rPr>
        <w:t> do</w:t>
      </w:r>
      <w:r>
        <w:rPr>
          <w:sz w:val="24"/>
        </w:rPr>
        <w:t> interessado(a)</w:t>
      </w:r>
      <w:r>
        <w:rPr>
          <w:sz w:val="24"/>
        </w:rPr>
        <w:t> no</w:t>
      </w:r>
      <w:r>
        <w:rPr>
          <w:sz w:val="24"/>
        </w:rPr>
        <w:t> Sistema</w:t>
      </w:r>
      <w:r>
        <w:rPr>
          <w:sz w:val="24"/>
        </w:rPr>
        <w:t> de</w:t>
      </w:r>
      <w:r>
        <w:rPr>
          <w:sz w:val="24"/>
        </w:rPr>
        <w:t> Processo Eletrônico,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dados</w:t>
      </w:r>
      <w:r>
        <w:rPr>
          <w:spacing w:val="-11"/>
          <w:sz w:val="24"/>
        </w:rPr>
        <w:t> </w:t>
      </w:r>
      <w:r>
        <w:rPr>
          <w:sz w:val="24"/>
        </w:rPr>
        <w:t>informados</w:t>
      </w:r>
      <w:r>
        <w:rPr>
          <w:spacing w:val="-14"/>
          <w:sz w:val="24"/>
        </w:rPr>
        <w:t> </w:t>
      </w:r>
      <w:r>
        <w:rPr>
          <w:sz w:val="24"/>
        </w:rPr>
        <w:t>deverão</w:t>
      </w:r>
      <w:r>
        <w:rPr>
          <w:spacing w:val="-13"/>
          <w:sz w:val="24"/>
        </w:rPr>
        <w:t> </w:t>
      </w:r>
      <w:r>
        <w:rPr>
          <w:sz w:val="24"/>
        </w:rPr>
        <w:t>manter-se</w:t>
      </w:r>
      <w:r>
        <w:rPr>
          <w:spacing w:val="-10"/>
          <w:sz w:val="24"/>
        </w:rPr>
        <w:t> </w:t>
      </w:r>
      <w:r>
        <w:rPr>
          <w:sz w:val="24"/>
        </w:rPr>
        <w:t>sempre</w:t>
      </w:r>
      <w:r>
        <w:rPr>
          <w:spacing w:val="-13"/>
          <w:sz w:val="24"/>
        </w:rPr>
        <w:t> </w:t>
      </w:r>
      <w:r>
        <w:rPr>
          <w:sz w:val="24"/>
        </w:rPr>
        <w:t>atualizados.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type w:val="continuous"/>
          <w:pgSz w:w="11920" w:h="16860"/>
          <w:pgMar w:header="534" w:footer="0" w:top="2000" w:bottom="280" w:left="1200" w:right="1340"/>
          <w:pgNumType w:start="1"/>
        </w:sectPr>
      </w:pPr>
    </w:p>
    <w:p>
      <w:pPr>
        <w:pStyle w:val="BodyText"/>
      </w:pPr>
    </w:p>
    <w:p>
      <w:pPr>
        <w:pStyle w:val="BodyText"/>
        <w:spacing w:before="86"/>
      </w:pPr>
    </w:p>
    <w:p>
      <w:pPr>
        <w:pStyle w:val="Heading2"/>
        <w:numPr>
          <w:ilvl w:val="0"/>
          <w:numId w:val="1"/>
        </w:numPr>
        <w:tabs>
          <w:tab w:pos="1166" w:val="left" w:leader="none"/>
        </w:tabs>
        <w:spacing w:line="240" w:lineRule="auto" w:before="0" w:after="0"/>
        <w:ind w:left="1166" w:right="0" w:hanging="705"/>
        <w:jc w:val="left"/>
      </w:pPr>
      <w:r>
        <w:rPr/>
        <w:t>Damo-nos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NOTIFICADOS</w:t>
      </w:r>
      <w:r>
        <w:rPr>
          <w:spacing w:val="-3"/>
        </w:rPr>
        <w:t> </w:t>
      </w:r>
      <w:r>
        <w:rPr>
          <w:spacing w:val="-4"/>
        </w:rPr>
        <w:t>para: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6" w:val="left" w:leader="none"/>
        </w:tabs>
        <w:spacing w:line="276" w:lineRule="auto" w:before="43" w:after="0"/>
        <w:ind w:left="1526" w:right="174" w:hanging="360"/>
        <w:jc w:val="both"/>
        <w:rPr>
          <w:sz w:val="24"/>
        </w:rPr>
      </w:pPr>
      <w:r>
        <w:rPr>
          <w:sz w:val="24"/>
        </w:rPr>
        <w:t>O acompanhamento dos atos do processo até seu julgamento final e consequente publicação;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6" w:val="left" w:leader="none"/>
        </w:tabs>
        <w:spacing w:line="276" w:lineRule="auto" w:before="0" w:after="0"/>
        <w:ind w:left="1526" w:right="180" w:hanging="360"/>
        <w:jc w:val="both"/>
        <w:rPr>
          <w:sz w:val="24"/>
        </w:rPr>
      </w:pPr>
      <w:r>
        <w:rPr>
          <w:sz w:val="24"/>
        </w:rPr>
        <w:t>Se for o caso e de nosso interesse, nos prazos e nas formas legais e regimentais, exercer o direito de defesa, interpor recursos e o que mais </w:t>
      </w:r>
      <w:r>
        <w:rPr>
          <w:spacing w:val="-2"/>
          <w:sz w:val="24"/>
        </w:rPr>
        <w:t>couber.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5"/>
      </w:pPr>
    </w:p>
    <w:p>
      <w:pPr>
        <w:tabs>
          <w:tab w:pos="9259" w:val="left" w:leader="none"/>
        </w:tabs>
        <w:spacing w:before="0"/>
        <w:ind w:left="10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LOCAL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DATA: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  <w:u w:val="single"/>
        </w:rPr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66"/>
        <w:rPr>
          <w:rFonts w:ascii="Arial"/>
          <w:b/>
        </w:rPr>
      </w:pPr>
    </w:p>
    <w:p>
      <w:pPr>
        <w:pStyle w:val="Heading1"/>
      </w:pPr>
      <w:r>
        <w:rPr>
          <w:spacing w:val="-2"/>
        </w:rPr>
        <w:t>INTERESSADO(A):</w:t>
      </w:r>
    </w:p>
    <w:p>
      <w:pPr>
        <w:pStyle w:val="BodyText"/>
        <w:tabs>
          <w:tab w:pos="4911" w:val="left" w:leader="none"/>
          <w:tab w:pos="9204" w:val="left" w:leader="none"/>
        </w:tabs>
        <w:spacing w:line="276" w:lineRule="auto" w:before="41"/>
        <w:ind w:left="101" w:right="157"/>
        <w:jc w:val="both"/>
      </w:pPr>
      <w:r>
        <w:rPr/>
        <w:t>Nome: </w:t>
      </w:r>
      <w:r>
        <w:rPr>
          <w:u w:val="single"/>
        </w:rPr>
        <w:tab/>
        <w:tab/>
      </w:r>
      <w:r>
        <w:rPr/>
        <w:t> Cargo (se for o caso): </w:t>
      </w:r>
      <w:r>
        <w:rPr>
          <w:u w:val="single"/>
        </w:rPr>
        <w:tab/>
        <w:tab/>
      </w:r>
      <w:r>
        <w:rPr/>
        <w:t> CPF: </w:t>
      </w:r>
      <w:r>
        <w:rPr>
          <w:u w:val="single"/>
        </w:rPr>
        <w:tab/>
      </w:r>
    </w:p>
    <w:p>
      <w:pPr>
        <w:pStyle w:val="BodyText"/>
        <w:tabs>
          <w:tab w:pos="9164" w:val="left" w:leader="none"/>
        </w:tabs>
        <w:ind w:left="101"/>
        <w:jc w:val="both"/>
      </w:pPr>
      <w:r>
        <w:rPr/>
        <w:t>Assinatura: </w:t>
      </w:r>
      <w:r>
        <w:rPr>
          <w:u w:val="single"/>
        </w:rPr>
        <w:tab/>
      </w:r>
    </w:p>
    <w:sectPr>
      <w:pgSz w:w="11920" w:h="16860"/>
      <w:pgMar w:header="534" w:footer="0" w:top="2000" w:bottom="280" w:left="12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7392">
          <wp:simplePos x="0" y="0"/>
          <wp:positionH relativeFrom="page">
            <wp:posOffset>899794</wp:posOffset>
          </wp:positionH>
          <wp:positionV relativeFrom="page">
            <wp:posOffset>339090</wp:posOffset>
          </wp:positionV>
          <wp:extent cx="781113" cy="86677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113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7904">
          <wp:simplePos x="0" y="0"/>
          <wp:positionH relativeFrom="page">
            <wp:posOffset>5681345</wp:posOffset>
          </wp:positionH>
          <wp:positionV relativeFrom="page">
            <wp:posOffset>492760</wp:posOffset>
          </wp:positionV>
          <wp:extent cx="1023620" cy="623189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3620" cy="6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8416">
              <wp:simplePos x="0" y="0"/>
              <wp:positionH relativeFrom="page">
                <wp:posOffset>1833117</wp:posOffset>
              </wp:positionH>
              <wp:positionV relativeFrom="page">
                <wp:posOffset>448637</wp:posOffset>
              </wp:positionV>
              <wp:extent cx="3761104" cy="50419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761104" cy="504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18" w:hanging="3"/>
                            <w:jc w:val="center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15"/>
                              <w:sz w:val="22"/>
                            </w:rPr>
                            <w:t>GOVERNO DO ESTADO DE SÃO PAULO SECRETARIA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1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1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22"/>
                            </w:rPr>
                            <w:t>GESTÃO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1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1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22"/>
                            </w:rPr>
                            <w:t>GOVERNO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1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22"/>
                            </w:rPr>
                            <w:t>DIGITAL </w:t>
                          </w:r>
                          <w:r>
                            <w:rPr>
                              <w:rFonts w:ascii="Arial" w:hAnsi="Arial"/>
                              <w:b/>
                              <w:color w:val="4DA7AF"/>
                              <w:w w:val="115"/>
                              <w:sz w:val="22"/>
                            </w:rPr>
                            <w:t>SÃO PAULO PREVIDÊNCIA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4.339996pt;margin-top:35.325794pt;width:296.150pt;height:39.7pt;mso-position-horizontal-relative:page;mso-position-vertical-relative:page;z-index:-15768064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18" w:hanging="3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22"/>
                      </w:rPr>
                      <w:t>GOVERNO DO ESTADO DE SÃO PAULO SECRETARIA</w:t>
                    </w:r>
                    <w:r>
                      <w:rPr>
                        <w:rFonts w:ascii="Arial" w:hAnsi="Arial"/>
                        <w:b/>
                        <w:spacing w:val="-9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15"/>
                        <w:sz w:val="2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15"/>
                        <w:sz w:val="22"/>
                      </w:rPr>
                      <w:t>GESTÃO</w:t>
                    </w:r>
                    <w:r>
                      <w:rPr>
                        <w:rFonts w:ascii="Arial" w:hAnsi="Arial"/>
                        <w:b/>
                        <w:spacing w:val="-6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15"/>
                        <w:sz w:val="22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2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15"/>
                        <w:sz w:val="22"/>
                      </w:rPr>
                      <w:t>GOVERNO</w:t>
                    </w:r>
                    <w:r>
                      <w:rPr>
                        <w:rFonts w:ascii="Arial" w:hAnsi="Arial"/>
                        <w:b/>
                        <w:spacing w:val="-9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15"/>
                        <w:sz w:val="22"/>
                      </w:rPr>
                      <w:t>DIGITAL </w:t>
                    </w:r>
                    <w:r>
                      <w:rPr>
                        <w:rFonts w:ascii="Arial" w:hAnsi="Arial"/>
                        <w:b/>
                        <w:color w:val="4DA7AF"/>
                        <w:w w:val="115"/>
                        <w:sz w:val="22"/>
                      </w:rPr>
                      <w:t>SÃO PAULO PREVIDÊNCIA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6" w:hanging="706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6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66" w:hanging="705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2" w:right="73"/>
      <w:jc w:val="center"/>
    </w:pPr>
    <w:rPr>
      <w:rFonts w:ascii="Calibri" w:hAnsi="Calibri" w:eastAsia="Calibri" w:cs="Calibri"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26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Marques Guimaraes</dc:creator>
  <dcterms:created xsi:type="dcterms:W3CDTF">2024-04-11T14:22:36Z</dcterms:created>
  <dcterms:modified xsi:type="dcterms:W3CDTF">2024-04-11T14:22:36Z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para Microsoft 365</vt:lpwstr>
  </property>
</Properties>
</file>