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Default="00FE08AE" w:rsidP="004C2E0E">
      <w:pPr>
        <w:spacing w:after="0" w:line="240" w:lineRule="auto"/>
        <w:jc w:val="center"/>
        <w:rPr>
          <w:rStyle w:val="Forte"/>
          <w:rFonts w:cstheme="minorHAnsi"/>
          <w:sz w:val="36"/>
          <w:szCs w:val="36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3A55153" w14:textId="52FF4CB5" w:rsidR="006511C8" w:rsidRPr="006511C8" w:rsidRDefault="006511C8" w:rsidP="004C2E0E">
      <w:pPr>
        <w:spacing w:after="0" w:line="240" w:lineRule="auto"/>
        <w:jc w:val="center"/>
        <w:rPr>
          <w:rStyle w:val="Forte"/>
          <w:rFonts w:cstheme="minorHAnsi"/>
          <w:color w:val="FF0000"/>
          <w:bdr w:val="none" w:sz="0" w:space="0" w:color="auto" w:frame="1"/>
        </w:rPr>
      </w:pPr>
      <w:r w:rsidRPr="006511C8">
        <w:rPr>
          <w:rStyle w:val="Forte"/>
          <w:rFonts w:cstheme="minorHAnsi"/>
          <w:color w:val="FF0000"/>
          <w:sz w:val="36"/>
          <w:szCs w:val="36"/>
          <w:bdr w:val="none" w:sz="0" w:space="0" w:color="auto" w:frame="1"/>
        </w:rPr>
        <w:t>Substituição do COE afastado na Direção até 31/10/2023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13ADE6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EE </w:t>
      </w:r>
      <w:r w:rsidR="00352B50"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Alexandrina Gomes de Araújo Rodrigues</w:t>
      </w:r>
      <w:r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em </w:t>
      </w:r>
      <w:r w:rsidR="00352B50"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711B997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(MMR/GI)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DBA1263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7777777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5F5C5344" w:rsidR="00FE08AE" w:rsidRPr="006511C8" w:rsidRDefault="00FE08AE" w:rsidP="00FE08AE">
      <w:pPr>
        <w:jc w:val="both"/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As inscrições ocorrerão no período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de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1</w:t>
      </w:r>
      <w:r w:rsidR="00B02CB1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2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/09/2023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a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1</w:t>
      </w:r>
      <w:r w:rsidR="00B02CB1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3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09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202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3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com entrega de Proposta de Trabalho pelo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interessado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na Secretaria da Escola, no horário de expediente escolar, na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Rua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Benedicto Luiz Marcondes Barros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nº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430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Cidade Jardim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/SP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B337417" w:rsidR="00F86759" w:rsidRPr="00B02CB1" w:rsidRDefault="00352B50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proofErr w:type="spellStart"/>
      <w:r w:rsidRPr="00B02CB1">
        <w:rPr>
          <w:rFonts w:cstheme="minorHAnsi"/>
          <w:bdr w:val="none" w:sz="0" w:space="0" w:color="auto" w:frame="1"/>
        </w:rPr>
        <w:t>Serede</w:t>
      </w:r>
      <w:proofErr w:type="spellEnd"/>
      <w:r w:rsidRPr="00B02CB1">
        <w:rPr>
          <w:rFonts w:cstheme="minorHAnsi"/>
          <w:bdr w:val="none" w:sz="0" w:space="0" w:color="auto" w:frame="1"/>
        </w:rPr>
        <w:t xml:space="preserve"> Matias</w:t>
      </w:r>
    </w:p>
    <w:p w14:paraId="29010513" w14:textId="75D8428B" w:rsidR="00F86759" w:rsidRPr="00B02CB1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B02CB1">
        <w:rPr>
          <w:rFonts w:cstheme="minorHAnsi"/>
          <w:bdr w:val="none" w:sz="0" w:space="0" w:color="auto" w:frame="1"/>
        </w:rPr>
        <w:t xml:space="preserve">RG: </w:t>
      </w:r>
      <w:r w:rsidR="00352B50" w:rsidRPr="00B02CB1">
        <w:rPr>
          <w:rFonts w:cstheme="minorHAnsi"/>
          <w:bdr w:val="none" w:sz="0" w:space="0" w:color="auto" w:frame="1"/>
        </w:rPr>
        <w:t>27.750.897-6</w:t>
      </w:r>
    </w:p>
    <w:p w14:paraId="6ADF857C" w14:textId="350582E0" w:rsidR="00F86759" w:rsidRPr="00F86759" w:rsidRDefault="00F86759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Diretor de Escola</w:t>
      </w:r>
    </w:p>
    <w:sectPr w:rsidR="00F86759" w:rsidRPr="00F8675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845C" w14:textId="77777777" w:rsidR="00E85F43" w:rsidRDefault="00E85F43" w:rsidP="00B37B83">
      <w:pPr>
        <w:spacing w:after="0" w:line="240" w:lineRule="auto"/>
      </w:pPr>
      <w:r>
        <w:separator/>
      </w:r>
    </w:p>
  </w:endnote>
  <w:endnote w:type="continuationSeparator" w:id="0">
    <w:p w14:paraId="4D0042F7" w14:textId="77777777" w:rsidR="00E85F43" w:rsidRDefault="00E85F43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F243" w14:textId="77777777" w:rsidR="00E85F43" w:rsidRDefault="00E85F43" w:rsidP="00B37B83">
      <w:pPr>
        <w:spacing w:after="0" w:line="240" w:lineRule="auto"/>
      </w:pPr>
      <w:r>
        <w:separator/>
      </w:r>
    </w:p>
  </w:footnote>
  <w:footnote w:type="continuationSeparator" w:id="0">
    <w:p w14:paraId="51B496C9" w14:textId="77777777" w:rsidR="00E85F43" w:rsidRDefault="00E85F43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1F1FB44A" w:rsidR="004C2E0E" w:rsidRPr="00B02CB1" w:rsidRDefault="004C2E0E">
    <w:pPr>
      <w:pStyle w:val="Cabealho"/>
      <w:rPr>
        <w:b/>
        <w:bCs/>
      </w:rPr>
    </w:pPr>
    <w:r w:rsidRPr="00B02CB1">
      <w:rPr>
        <w:b/>
        <w:bCs/>
      </w:rPr>
      <w:t xml:space="preserve">EE </w:t>
    </w:r>
    <w:r w:rsidR="00352B50" w:rsidRPr="00B02CB1">
      <w:rPr>
        <w:b/>
        <w:bCs/>
      </w:rPr>
      <w:t>ALEXANDRINA GOMES DE ARAÚJO RODRIGUES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15663B"/>
    <w:rsid w:val="0018246F"/>
    <w:rsid w:val="00231E80"/>
    <w:rsid w:val="00352B50"/>
    <w:rsid w:val="003D20D0"/>
    <w:rsid w:val="0042067C"/>
    <w:rsid w:val="004C2E0E"/>
    <w:rsid w:val="005F7947"/>
    <w:rsid w:val="006511C8"/>
    <w:rsid w:val="006C3510"/>
    <w:rsid w:val="00763C40"/>
    <w:rsid w:val="00B02CB1"/>
    <w:rsid w:val="00B37B83"/>
    <w:rsid w:val="00D15618"/>
    <w:rsid w:val="00E85F43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Denise Fatima Silva De Jesus</cp:lastModifiedBy>
  <cp:revision>2</cp:revision>
  <cp:lastPrinted>2023-09-11T11:41:00Z</cp:lastPrinted>
  <dcterms:created xsi:type="dcterms:W3CDTF">2023-09-15T19:13:00Z</dcterms:created>
  <dcterms:modified xsi:type="dcterms:W3CDTF">2023-09-15T19:13:00Z</dcterms:modified>
</cp:coreProperties>
</file>