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7B9" w14:textId="00C9D847" w:rsidR="00C91058" w:rsidRDefault="00C91058" w:rsidP="00C91058">
      <w:pPr>
        <w:jc w:val="center"/>
        <w:rPr>
          <w:rFonts w:eastAsiaTheme="majorEastAsia" w:cstheme="minorHAnsi"/>
          <w:b/>
          <w:bCs/>
          <w:szCs w:val="24"/>
        </w:rPr>
      </w:pPr>
    </w:p>
    <w:tbl>
      <w:tblPr>
        <w:tblW w:w="10690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8292"/>
      </w:tblGrid>
      <w:tr w:rsidR="00C91058" w:rsidRPr="00E367A1" w14:paraId="4551AC9E" w14:textId="77777777" w:rsidTr="003C3F70">
        <w:trPr>
          <w:trHeight w:val="1530"/>
        </w:trPr>
        <w:tc>
          <w:tcPr>
            <w:tcW w:w="2398" w:type="dxa"/>
          </w:tcPr>
          <w:p w14:paraId="7D292B3C" w14:textId="77777777" w:rsidR="00C91058" w:rsidRPr="00E367A1" w:rsidRDefault="00C91058" w:rsidP="003C3F70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67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841" w:dyaOrig="2061" w14:anchorId="093439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4" o:title=""/>
                </v:shape>
                <o:OLEObject Type="Embed" ProgID="Word.Picture.8" ShapeID="_x0000_i1025" DrawAspect="Content" ObjectID="_1753167825" r:id="rId5"/>
              </w:object>
            </w:r>
          </w:p>
        </w:tc>
        <w:tc>
          <w:tcPr>
            <w:tcW w:w="8292" w:type="dxa"/>
          </w:tcPr>
          <w:p w14:paraId="2F6CA47E" w14:textId="77777777" w:rsidR="00C91058" w:rsidRPr="00E367A1" w:rsidRDefault="00C91058" w:rsidP="003C3F70">
            <w:pPr>
              <w:spacing w:after="0" w:line="240" w:lineRule="auto"/>
              <w:jc w:val="center"/>
              <w:rPr>
                <w:rFonts w:cs="Arial"/>
                <w:b/>
                <w:sz w:val="28"/>
                <w:lang w:eastAsia="pt-BR"/>
              </w:rPr>
            </w:pPr>
            <w:r w:rsidRPr="00E367A1">
              <w:rPr>
                <w:rFonts w:cs="Arial"/>
                <w:b/>
                <w:sz w:val="28"/>
                <w:lang w:eastAsia="pt-BR"/>
              </w:rPr>
              <w:t>Governo do Estado de São Paulo</w:t>
            </w:r>
          </w:p>
          <w:p w14:paraId="75EF4DD0" w14:textId="77777777" w:rsidR="00C91058" w:rsidRPr="00E367A1" w:rsidRDefault="00C91058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Secretaria de Estado da Educação</w:t>
            </w:r>
          </w:p>
          <w:p w14:paraId="78890ECF" w14:textId="77777777" w:rsidR="00C91058" w:rsidRPr="00E367A1" w:rsidRDefault="00C91058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Diretoria de Ensino</w:t>
            </w:r>
          </w:p>
          <w:p w14:paraId="3D0A0AEB" w14:textId="444ECF1E" w:rsidR="00C91058" w:rsidRPr="00E367A1" w:rsidRDefault="00734CF5" w:rsidP="003C3F7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Campinas Oeste</w:t>
            </w:r>
          </w:p>
        </w:tc>
      </w:tr>
    </w:tbl>
    <w:p w14:paraId="6957FBAB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6F5EB9E4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200E59D0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 xml:space="preserve"> INFORMAÇÃO: Nº        /201</w:t>
      </w:r>
    </w:p>
    <w:p w14:paraId="61984F4F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 xml:space="preserve"> PROCESSO: Nº          /201</w:t>
      </w:r>
    </w:p>
    <w:p w14:paraId="2B27863B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 xml:space="preserve"> INTERESSADO: EE </w:t>
      </w:r>
    </w:p>
    <w:p w14:paraId="26555AEE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 xml:space="preserve"> ASSUNTO: MATERIAL PERMANENTE - FURTO</w:t>
      </w:r>
    </w:p>
    <w:p w14:paraId="338E199A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6D790B2D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57AE9C35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60AB7598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2CCB27FB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08C980E8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  <w:proofErr w:type="gramStart"/>
      <w:r w:rsidRPr="00E367A1">
        <w:rPr>
          <w:rFonts w:eastAsia="Times New Roman" w:cs="Arial"/>
          <w:bCs/>
          <w:szCs w:val="24"/>
          <w:lang w:eastAsia="pt-BR"/>
        </w:rPr>
        <w:t>DESPACHO :</w:t>
      </w:r>
      <w:proofErr w:type="gramEnd"/>
      <w:r w:rsidRPr="00E367A1">
        <w:rPr>
          <w:rFonts w:eastAsia="Times New Roman" w:cs="Arial"/>
          <w:bCs/>
          <w:szCs w:val="24"/>
          <w:lang w:eastAsia="pt-BR"/>
        </w:rPr>
        <w:t xml:space="preserve">  </w:t>
      </w:r>
    </w:p>
    <w:p w14:paraId="35630B04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33AA5DEA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29E19C19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4F2E2680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3887D7EA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57" w:firstLine="2835"/>
        <w:jc w:val="both"/>
        <w:rPr>
          <w:rFonts w:eastAsia="Times New Roman" w:cs="Arial"/>
          <w:bCs/>
          <w:szCs w:val="24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>A vista do que consta dos autos, autorizo a baixa contábil dos bens furtados da EE .......... encaminhando uma via da NL a Unidade Escolar, para que o material arrolado seja retirado do Inventário com posterior arquivamento nesta DE.</w:t>
      </w:r>
    </w:p>
    <w:p w14:paraId="4E72F690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2B69C1E3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133FF78F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1808F77A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</w:p>
    <w:p w14:paraId="2B0AC496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right"/>
        <w:rPr>
          <w:rFonts w:eastAsia="Times New Roman" w:cs="Arial"/>
          <w:bCs/>
          <w:sz w:val="22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 w:val="22"/>
          <w:lang w:eastAsia="pt-BR"/>
        </w:rPr>
        <w:t xml:space="preserve">São </w:t>
      </w:r>
      <w:proofErr w:type="gramStart"/>
      <w:r w:rsidRPr="00E367A1">
        <w:rPr>
          <w:rFonts w:eastAsia="Times New Roman" w:cs="Arial"/>
          <w:bCs/>
          <w:sz w:val="22"/>
          <w:lang w:eastAsia="pt-BR"/>
        </w:rPr>
        <w:t>Paulo,......</w:t>
      </w:r>
      <w:proofErr w:type="gramEnd"/>
      <w:r w:rsidRPr="00E367A1">
        <w:rPr>
          <w:rFonts w:eastAsia="Times New Roman" w:cs="Arial"/>
          <w:bCs/>
          <w:sz w:val="22"/>
          <w:lang w:eastAsia="pt-BR"/>
        </w:rPr>
        <w:t xml:space="preserve"> de ........ de 201. </w:t>
      </w:r>
      <w:r w:rsidRPr="00E367A1">
        <w:rPr>
          <w:rFonts w:eastAsia="Times New Roman" w:cs="Arial"/>
          <w:bCs/>
          <w:sz w:val="22"/>
          <w:lang w:eastAsia="pt-BR"/>
        </w:rPr>
        <w:tab/>
      </w:r>
    </w:p>
    <w:p w14:paraId="572469FC" w14:textId="77777777" w:rsidR="00C91058" w:rsidRPr="00E367A1" w:rsidRDefault="00C91058" w:rsidP="00C91058">
      <w:pPr>
        <w:spacing w:after="0" w:line="240" w:lineRule="auto"/>
        <w:ind w:firstLine="709"/>
        <w:jc w:val="both"/>
        <w:rPr>
          <w:rFonts w:eastAsia="Times New Roman" w:cs="Times New Roman"/>
          <w:b/>
          <w:sz w:val="22"/>
          <w:lang w:eastAsia="pt-BR"/>
        </w:rPr>
      </w:pPr>
      <w:r w:rsidRPr="00E367A1">
        <w:rPr>
          <w:rFonts w:eastAsia="Times New Roman" w:cs="Times New Roman"/>
          <w:b/>
          <w:sz w:val="22"/>
          <w:lang w:eastAsia="pt-BR"/>
        </w:rPr>
        <w:tab/>
      </w:r>
      <w:r w:rsidRPr="00E367A1">
        <w:rPr>
          <w:rFonts w:eastAsia="Times New Roman" w:cs="Times New Roman"/>
          <w:b/>
          <w:sz w:val="22"/>
          <w:lang w:eastAsia="pt-BR"/>
        </w:rPr>
        <w:tab/>
      </w:r>
      <w:r w:rsidRPr="00E367A1">
        <w:rPr>
          <w:rFonts w:eastAsia="Times New Roman" w:cs="Times New Roman"/>
          <w:b/>
          <w:sz w:val="22"/>
          <w:lang w:eastAsia="pt-BR"/>
        </w:rPr>
        <w:tab/>
      </w:r>
    </w:p>
    <w:p w14:paraId="2B02CAEE" w14:textId="77777777" w:rsidR="00C91058" w:rsidRPr="00E367A1" w:rsidRDefault="00C91058" w:rsidP="00C91058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pt-BR"/>
        </w:rPr>
      </w:pPr>
    </w:p>
    <w:p w14:paraId="252FD2E5" w14:textId="77777777" w:rsidR="00C91058" w:rsidRPr="00E367A1" w:rsidRDefault="00C91058" w:rsidP="00C91058">
      <w:pPr>
        <w:spacing w:after="0" w:line="240" w:lineRule="auto"/>
        <w:ind w:left="3856"/>
        <w:jc w:val="center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DIRETOR DO CENTRO DE ADMINISTRAÇÃO E FINANÇAS E INFRAESTRUTURA</w:t>
      </w:r>
    </w:p>
    <w:p w14:paraId="36BA6B24" w14:textId="77777777" w:rsidR="00C91058" w:rsidRPr="00E367A1" w:rsidRDefault="00C91058" w:rsidP="00C91058">
      <w:pPr>
        <w:spacing w:after="0" w:line="240" w:lineRule="auto"/>
        <w:ind w:left="3855" w:firstLine="709"/>
        <w:jc w:val="both"/>
        <w:rPr>
          <w:rFonts w:eastAsia="Times New Roman" w:cs="Times New Roman"/>
          <w:b/>
          <w:sz w:val="20"/>
          <w:szCs w:val="24"/>
          <w:lang w:eastAsia="pt-BR"/>
        </w:rPr>
      </w:pPr>
    </w:p>
    <w:p w14:paraId="28AD16A7" w14:textId="77777777" w:rsidR="00C91058" w:rsidRPr="00E367A1" w:rsidRDefault="00C91058" w:rsidP="00C91058">
      <w:pPr>
        <w:spacing w:after="0" w:line="240" w:lineRule="auto"/>
        <w:ind w:left="3855" w:firstLine="709"/>
        <w:jc w:val="both"/>
        <w:rPr>
          <w:rFonts w:eastAsia="Times New Roman" w:cs="Times New Roman"/>
          <w:b/>
          <w:sz w:val="20"/>
          <w:szCs w:val="24"/>
          <w:lang w:eastAsia="pt-BR"/>
        </w:rPr>
      </w:pPr>
    </w:p>
    <w:p w14:paraId="134ABE97" w14:textId="77777777" w:rsidR="00C91058" w:rsidRPr="00E367A1" w:rsidRDefault="00C91058" w:rsidP="00C91058">
      <w:pPr>
        <w:spacing w:after="0" w:line="240" w:lineRule="auto"/>
        <w:ind w:left="3855" w:firstLine="709"/>
        <w:jc w:val="both"/>
        <w:rPr>
          <w:rFonts w:eastAsia="Times New Roman" w:cs="Times New Roman"/>
          <w:b/>
          <w:sz w:val="20"/>
          <w:szCs w:val="24"/>
          <w:lang w:eastAsia="pt-BR"/>
        </w:rPr>
      </w:pPr>
    </w:p>
    <w:p w14:paraId="357E69FE" w14:textId="77777777" w:rsidR="00C91058" w:rsidRPr="00E367A1" w:rsidRDefault="00C91058" w:rsidP="00C91058">
      <w:pPr>
        <w:tabs>
          <w:tab w:val="left" w:pos="3420"/>
        </w:tabs>
        <w:spacing w:after="0" w:line="240" w:lineRule="auto"/>
        <w:ind w:left="-360" w:firstLine="709"/>
        <w:jc w:val="both"/>
        <w:rPr>
          <w:rFonts w:eastAsia="Times New Roman" w:cs="Arial"/>
          <w:bCs/>
          <w:szCs w:val="24"/>
          <w:lang w:eastAsia="pt-BR"/>
        </w:rPr>
      </w:pP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Cs w:val="24"/>
          <w:lang w:eastAsia="pt-BR"/>
        </w:rPr>
        <w:tab/>
      </w:r>
      <w:r w:rsidRPr="00E367A1">
        <w:rPr>
          <w:rFonts w:eastAsia="Times New Roman" w:cs="Arial"/>
          <w:bCs/>
          <w:szCs w:val="24"/>
          <w:lang w:eastAsia="pt-BR"/>
        </w:rPr>
        <w:tab/>
        <w:t xml:space="preserve">          </w:t>
      </w:r>
      <w:r w:rsidRPr="00E367A1">
        <w:rPr>
          <w:rFonts w:eastAsia="Times New Roman" w:cs="Arial"/>
          <w:bCs/>
          <w:szCs w:val="24"/>
          <w:lang w:eastAsia="pt-BR"/>
        </w:rPr>
        <w:tab/>
      </w:r>
    </w:p>
    <w:p w14:paraId="4DB50585" w14:textId="77777777" w:rsidR="00C91058" w:rsidRPr="00E367A1" w:rsidRDefault="00C91058" w:rsidP="00C91058">
      <w:pPr>
        <w:tabs>
          <w:tab w:val="left" w:pos="4536"/>
        </w:tabs>
        <w:spacing w:after="0" w:line="240" w:lineRule="auto"/>
        <w:jc w:val="both"/>
        <w:rPr>
          <w:rFonts w:eastAsia="Times New Roman" w:cs="Arial"/>
          <w:color w:val="FF0000"/>
          <w:szCs w:val="24"/>
          <w:lang w:eastAsia="pt-BR"/>
        </w:rPr>
      </w:pPr>
      <w:r w:rsidRPr="00E367A1">
        <w:rPr>
          <w:rFonts w:eastAsia="Times New Roman" w:cs="Arial"/>
          <w:color w:val="FF0000"/>
          <w:szCs w:val="24"/>
          <w:lang w:eastAsia="pt-BR"/>
        </w:rPr>
        <w:t xml:space="preserve">OBS: BAIXA PATRIMONIAL COMPETÊNCIA DOS DIRETORES DOS CENTROS DE ADMINISTRAÇÃO, FINANÇAS E INFRAESTRUTURA PREVISTA NO INCISO III DO ARTIGO 93 DECRETO Nº 57.141, de 18 de </w:t>
      </w:r>
      <w:proofErr w:type="gramStart"/>
      <w:r w:rsidRPr="00E367A1">
        <w:rPr>
          <w:rFonts w:eastAsia="Times New Roman" w:cs="Arial"/>
          <w:color w:val="FF0000"/>
          <w:szCs w:val="24"/>
          <w:lang w:eastAsia="pt-BR"/>
        </w:rPr>
        <w:t>Julho</w:t>
      </w:r>
      <w:proofErr w:type="gramEnd"/>
      <w:r w:rsidRPr="00E367A1">
        <w:rPr>
          <w:rFonts w:eastAsia="Times New Roman" w:cs="Arial"/>
          <w:color w:val="FF0000"/>
          <w:szCs w:val="24"/>
          <w:lang w:eastAsia="pt-BR"/>
        </w:rPr>
        <w:t xml:space="preserve"> de 2011 </w:t>
      </w:r>
    </w:p>
    <w:p w14:paraId="1EA1D93F" w14:textId="77777777" w:rsidR="006C6BD9" w:rsidRDefault="006C6BD9"/>
    <w:sectPr w:rsidR="006C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58"/>
    <w:rsid w:val="006C6BD9"/>
    <w:rsid w:val="00734CF5"/>
    <w:rsid w:val="00C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EAA"/>
  <w15:chartTrackingRefBased/>
  <w15:docId w15:val="{8A8D99DB-BDAF-4D5F-950F-B7E3BCD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58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Ricardo Pinto De Moraes</dc:creator>
  <cp:keywords/>
  <dc:description/>
  <cp:lastModifiedBy>Leandro Ricardo Pinto De Moraes</cp:lastModifiedBy>
  <cp:revision>1</cp:revision>
  <dcterms:created xsi:type="dcterms:W3CDTF">2023-08-10T12:49:00Z</dcterms:created>
  <dcterms:modified xsi:type="dcterms:W3CDTF">2023-08-10T13:17:00Z</dcterms:modified>
</cp:coreProperties>
</file>