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1557" w14:textId="6B5A1CC4" w:rsidR="0065191F" w:rsidRPr="004E0ED9" w:rsidRDefault="0065191F" w:rsidP="00244901">
      <w:pPr>
        <w:spacing w:after="0" w:line="330" w:lineRule="atLeast"/>
        <w:jc w:val="center"/>
        <w:textAlignment w:val="baseline"/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</w:pPr>
      <w:r w:rsidRPr="004E0ED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EDITAL CREDENCIAMENTO EMERGENCIAL Nº 0</w:t>
      </w:r>
      <w:r w:rsidR="0016238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3</w:t>
      </w:r>
      <w:r w:rsidR="00244901" w:rsidRPr="004E0ED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/2022</w:t>
      </w:r>
    </w:p>
    <w:p w14:paraId="76C9D7FA" w14:textId="3750A168" w:rsidR="0065191F" w:rsidRPr="00A607DA" w:rsidRDefault="0065191F" w:rsidP="00244901">
      <w:pPr>
        <w:spacing w:after="0" w:line="330" w:lineRule="atLeast"/>
        <w:jc w:val="center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4E0ED9">
        <w:rPr>
          <w:rFonts w:eastAsia="Times New Roman" w:cstheme="minorHAnsi"/>
          <w:b/>
          <w:bCs/>
          <w:color w:val="444444"/>
          <w:sz w:val="28"/>
          <w:szCs w:val="28"/>
          <w:bdr w:val="none" w:sz="0" w:space="0" w:color="auto" w:frame="1"/>
          <w:lang w:eastAsia="pt-BR"/>
        </w:rPr>
        <w:t>PROGRAMA ENSINO INTEGRAL</w:t>
      </w:r>
    </w:p>
    <w:p w14:paraId="002F1C92" w14:textId="77777777" w:rsidR="0065191F" w:rsidRPr="00A607DA" w:rsidRDefault="0065191F" w:rsidP="00244901">
      <w:pPr>
        <w:spacing w:after="0" w:line="330" w:lineRule="atLeast"/>
        <w:jc w:val="center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4F1E048F" w14:textId="7A91CEEC" w:rsidR="0065191F" w:rsidRPr="0065191F" w:rsidRDefault="004E0ED9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Dir</w:t>
      </w:r>
      <w:r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igente da Dire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toria de Ensino – Região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Pindamonhangaba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torna pública a abertura de inscrições e a realização do </w:t>
      </w:r>
      <w:r w:rsidR="0065191F"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Credenciamento Emergencial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para atuação em Regime de Dedicação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Exclusiva (RDE)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n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as escolas estaduais do Programa Ensino Integral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(PEI)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conforme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Capítulo III da 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Lei Complementar nº 1.374, de 30/03/2022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 </w:t>
      </w:r>
      <w:r w:rsidR="0065191F" w:rsidRPr="0065191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Decreto nº 66.799, de 31</w:t>
      </w:r>
      <w:r w:rsidR="00244901" w:rsidRPr="00A607DA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/</w:t>
      </w:r>
      <w:r w:rsidR="0065191F" w:rsidRPr="0065191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05</w:t>
      </w:r>
      <w:r w:rsidR="00244901" w:rsidRPr="00A607DA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/</w:t>
      </w:r>
      <w:r w:rsidR="0065191F" w:rsidRPr="0065191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>2022</w:t>
      </w:r>
      <w:r w:rsidR="0065191F" w:rsidRPr="0065191F"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>,</w:t>
      </w:r>
      <w:r w:rsidR="0065191F"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cujo objetivo é o preenchimento de vagas existentes para o ano letivo de 2022. </w:t>
      </w:r>
    </w:p>
    <w:p w14:paraId="026E63CE" w14:textId="7777777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7984DF0B" w14:textId="7777777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B2F6184" w14:textId="3DDFDA3F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 – DISPOSIÇÕES PRELIMINARES</w:t>
      </w:r>
    </w:p>
    <w:p w14:paraId="4FC48857" w14:textId="77777777" w:rsidR="00244901" w:rsidRPr="0065191F" w:rsidRDefault="00244901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53BCC8B0" w14:textId="7B79AABD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realização do presente credenciamento de integrantes do Quadro do Magistério para atuar nas unidades escolares do Programa Ensino Integral, durante o ano letivo de 2022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ocorrerá no período d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10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/2022 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até </w:t>
      </w:r>
      <w:r w:rsidR="004E0ED9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a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s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 09 horas de 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15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 para os candidatos que ainda não fizeram o cadastro emergencial para atuação no PEI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1009C2" w:rsidRPr="0009509B">
        <w:rPr>
          <w:rFonts w:eastAsia="Times New Roman" w:cstheme="minorHAnsi"/>
          <w:color w:val="444444"/>
          <w:sz w:val="24"/>
          <w:szCs w:val="24"/>
          <w:highlight w:val="red"/>
          <w:bdr w:val="none" w:sz="0" w:space="0" w:color="auto" w:frame="1"/>
          <w:lang w:eastAsia="pt-BR"/>
        </w:rPr>
        <w:t xml:space="preserve">apenas para atendimento de vagas existentes do componente curricular </w:t>
      </w:r>
      <w:r w:rsidR="0009509B" w:rsidRPr="0009509B">
        <w:rPr>
          <w:rFonts w:eastAsia="Times New Roman" w:cstheme="minorHAnsi"/>
          <w:b/>
          <w:bCs/>
          <w:color w:val="444444"/>
          <w:sz w:val="24"/>
          <w:szCs w:val="24"/>
          <w:highlight w:val="red"/>
          <w:bdr w:val="none" w:sz="0" w:space="0" w:color="auto" w:frame="1"/>
          <w:lang w:eastAsia="pt-BR"/>
        </w:rPr>
        <w:t>LÍNGUA INGLESA</w:t>
      </w:r>
      <w:r w:rsidR="001009C2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,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considerando todas as fases do certame.</w:t>
      </w:r>
    </w:p>
    <w:p w14:paraId="2642698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0C6BE993" w14:textId="5CD67678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As publicações referentes ao presente credenciamento poderão ser acompanhadas por meio do site da Diretoria de Ensino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a partir do acesso ao link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hyperlink r:id="rId4" w:history="1">
        <w:r w:rsidR="00244901" w:rsidRPr="00A607DA">
          <w:rPr>
            <w:rStyle w:val="Hyperlink"/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onde será divulgada a quantidade de vagas disponíveis e respectivas unidades escolares por ocasião da alocação.</w:t>
      </w:r>
    </w:p>
    <w:p w14:paraId="2A8BB60F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2EC5384" w14:textId="4CD41678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integrantes do Quadro de Magistério, em exercício nas escolas estaduais do Programa Ensino Integral, ficam submetidos ao Regime de Dedicação Exclusiva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(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RDE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),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a que se refere o artigo 47 da 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Lei Complementar nº 1.374, de 30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/03/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caracterizado pela exigência da prestação de 40 (quarenta) horas semanais de trabalho, compreendendo a realização de atividades pedagógicas e de gestão escolar previstas em normas da Secretaria da Educação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7F6EDC3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5F4CC1BF" w14:textId="5B026BDD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integrantes do Quadro do Magistério em atuação no Regime de Dedicação Exclusiva farão jus a Gratificação de Dedicação Exclusiva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(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GDE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),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no valor de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R$ 2.000,00 (dois mil reais), a ser paga aos docentes em </w:t>
      </w:r>
      <w:r w:rsidR="00244901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RDE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em exercício nas escolas estaduais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do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PEI, conforme disposto no artigo 47 d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 xml:space="preserve">ei 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C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omplementar</w:t>
      </w:r>
      <w:r w:rsidR="00244901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 xml:space="preserve"> nº 1.374, de 30/03/2022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06F0E750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1EB1B194" w14:textId="62E69C5C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integrantes do Quadro do Magistério ficam impedidos de participar do processo de credenciamento,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caso tenham sofrido penalidade, por qualquer tipo de ilícito, nos últimos 5 (cinco) anos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4096D6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1F6318A" w14:textId="38B61B06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6 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– Os integrantes do Quadro do Magistério que não obtiveram avaliação satisfatória e, por isso, não foram reconduzidos junto ao PEI, bem como os docentes que foram cessados durante o ano de 2022, nos termos do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que é previsto no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artigo 11 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do 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Decreto 66.799</w:t>
      </w:r>
      <w:r w:rsidR="00A76E8B" w:rsidRPr="00A607DA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, de 31/05/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NÃO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poderão ter nova designação no referido programa no ano de 2022.</w:t>
      </w:r>
    </w:p>
    <w:p w14:paraId="3D378787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7CD74C80" w14:textId="77777777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7 –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Os integrantes do Quadro do Magistério que já atuam em unidade escolar do Programa Ensino Integral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NÃO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poderão ser atendidos para mudança de sede de exercício por meio do presente processo de credenciamento emergencial</w:t>
      </w:r>
    </w:p>
    <w:p w14:paraId="3D0F6553" w14:textId="1657116C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5442BBC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6A545BCE" w14:textId="12AEFEE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II – DOS REQUISITOS</w:t>
      </w:r>
    </w:p>
    <w:p w14:paraId="5E752D38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5A88DD1B" w14:textId="227CB3C3" w:rsidR="00A76E8B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odem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participar do processo de credenciamento os docentes titulares de cargo, ocupantes de função-atividade ou contratados nos termos da 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Lei Complementar nº 1.093, de 16 de julho de 2009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7A80702A" w14:textId="0E979A48" w:rsidR="00A76E8B" w:rsidRPr="00A607DA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1.2-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Para atuação como docente especialista em componente curricular específico nos Anos Iniciais do Ensino Fundamental ou nas séries do Ensino Médio, o docente deverá ser atendido e classificado considerando a seguinte ordem de prioridade quanto à formação:</w:t>
      </w:r>
    </w:p>
    <w:p w14:paraId="15B64DFE" w14:textId="2C5BECDA" w:rsidR="00A76E8B" w:rsidRPr="00A607DA" w:rsidRDefault="0065191F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– Portador de Diploma de Licenciatura Plena, ou equivalente, específica de disciplina da Matriz Curricular;</w:t>
      </w:r>
    </w:p>
    <w:p w14:paraId="5A48A710" w14:textId="77777777" w:rsidR="00A76E8B" w:rsidRPr="00A607DA" w:rsidRDefault="0065191F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1.2.2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– Portador de Diploma de Licenciatura Plena, ou equivalente, de outras disciplinas que não sejam específicas do curso, mas pertençam à mesma área de formação, desde que habilite ou qualifique o docente para atuação em disciplina da Matriz Curricular.</w:t>
      </w:r>
    </w:p>
    <w:p w14:paraId="4152E56C" w14:textId="4C0DBBDE" w:rsidR="0065191F" w:rsidRPr="00A607DA" w:rsidRDefault="0065191F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1.2.3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Portador de Diploma de Licenciatura Curta específica de disciplina da Matriz Curricular</w:t>
      </w:r>
      <w:r w:rsidR="00A607DA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5ED222B" w14:textId="660710E8" w:rsidR="00A607DA" w:rsidRPr="0065191F" w:rsidRDefault="00A607DA" w:rsidP="00A76E8B">
      <w:pPr>
        <w:spacing w:after="0" w:line="330" w:lineRule="atLeast"/>
        <w:ind w:left="1418" w:hanging="708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A607DA">
        <w:rPr>
          <w:rFonts w:eastAsia="Times New Roman" w:cstheme="minorHAnsi"/>
          <w:b/>
          <w:bCs/>
          <w:color w:val="444444"/>
          <w:sz w:val="24"/>
          <w:szCs w:val="24"/>
          <w:lang w:eastAsia="pt-BR"/>
        </w:rPr>
        <w:t>1.2.4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–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B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>acharel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, T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ecnólogo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 xml:space="preserve">e 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os estudantes de 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L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>icenciatura que tenham 160h n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o componente curricular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que sejam autorizad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o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>s a lecionar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,</w:t>
      </w:r>
      <w:r w:rsidRPr="00A607DA">
        <w:rPr>
          <w:rFonts w:eastAsia="Times New Roman" w:cstheme="minorHAnsi"/>
          <w:color w:val="444444"/>
          <w:sz w:val="24"/>
          <w:szCs w:val="24"/>
          <w:lang w:eastAsia="pt-BR"/>
        </w:rPr>
        <w:t xml:space="preserve"> de acordo com o rol disposto na </w:t>
      </w:r>
      <w:r w:rsidRPr="00A607DA">
        <w:rPr>
          <w:rFonts w:eastAsia="Times New Roman" w:cstheme="minorHAnsi"/>
          <w:i/>
          <w:iCs/>
          <w:color w:val="444444"/>
          <w:sz w:val="24"/>
          <w:szCs w:val="24"/>
          <w:lang w:eastAsia="pt-BR"/>
        </w:rPr>
        <w:t>Indicação CEE 213/2021</w:t>
      </w:r>
      <w:r>
        <w:rPr>
          <w:rFonts w:eastAsia="Times New Roman" w:cstheme="minorHAnsi"/>
          <w:color w:val="444444"/>
          <w:sz w:val="24"/>
          <w:szCs w:val="24"/>
          <w:lang w:eastAsia="pt-BR"/>
        </w:rPr>
        <w:t>.</w:t>
      </w:r>
    </w:p>
    <w:p w14:paraId="55C9720F" w14:textId="434E9A6C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986F3E2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1B83434D" w14:textId="2C299D2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III – DA INSCRIÇÃO</w:t>
      </w:r>
    </w:p>
    <w:p w14:paraId="537E32F0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15B9AA7B" w14:textId="0946E5FE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 –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 inscrição do integrante do Quadro do Magistério implicará o conhecimento e a tácita aceitação das normas e condições estabelecidas neste edital, bem como em eventuais aditamentos, comunicados e instruções específicas para a realização do credenciamento, em relação às quais não poderá alegar desconhecimento.</w:t>
      </w:r>
    </w:p>
    <w:p w14:paraId="7FF20049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ECDEB6E" w14:textId="10AF44D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A Inscrição ocorrerá no período d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e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10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/2022 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até </w:t>
      </w:r>
      <w:r w:rsidR="004E0ED9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a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s 09 horas de 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15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0</w:t>
      </w:r>
      <w:r w:rsidR="00DE38F6"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2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Pr="0065191F">
        <w:rPr>
          <w:rFonts w:eastAsia="Times New Roman" w:cstheme="minorHAnsi"/>
          <w:color w:val="444444"/>
          <w:sz w:val="24"/>
          <w:szCs w:val="24"/>
          <w:highlight w:val="red"/>
          <w:bdr w:val="none" w:sz="0" w:space="0" w:color="auto" w:frame="1"/>
          <w:lang w:eastAsia="pt-BR"/>
        </w:rPr>
        <w:t>via Formulário Online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disponibilizado no link a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seguir, sendo necessário utilizar conta Gmail para acesso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:</w:t>
      </w:r>
      <w:r w:rsidR="0009509B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hyperlink r:id="rId5" w:history="1">
        <w:r w:rsidR="0009509B" w:rsidRPr="0009509B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https://forms.gle/pEResU2gsF4m4XiX8</w:t>
        </w:r>
      </w:hyperlink>
    </w:p>
    <w:p w14:paraId="1E1B2ACA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7880F1F0" w14:textId="77777777" w:rsidR="00A76E8B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 Na inscrição, o candidato que já atua na Rede Estadual de Ensino deverá indicar o vínculo que será considerado para fins de inscrição, classificação, alocação e designação (DI).</w:t>
      </w:r>
    </w:p>
    <w:p w14:paraId="34281C12" w14:textId="6CBD689E" w:rsidR="0065191F" w:rsidRPr="00A607DA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3.1  –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Os integrantes do Quadro do Magistério, em regime de acumulação de duas situações funcionais (docente/docente ou docente/Suporte Pedagógico), deverá optar pela inscrição em somente um dos vínculos.</w:t>
      </w:r>
      <w:r w:rsidR="0009509B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63180546" w14:textId="77777777" w:rsidR="00A76E8B" w:rsidRPr="0065191F" w:rsidRDefault="00A76E8B" w:rsidP="00A76E8B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1C9ADF8" w14:textId="2B8F42A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integrante do Quadro do Magistério deverá autodeclarar que não possui impedimentos para o exercício da função, a ser comprovada no momento da alocação.</w:t>
      </w:r>
    </w:p>
    <w:p w14:paraId="31FC8337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10EF9993" w14:textId="77777777" w:rsidR="00A76E8B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candidato deverá indicar, no momento da inscrição:</w:t>
      </w:r>
    </w:p>
    <w:p w14:paraId="0B0B1D99" w14:textId="0701B657" w:rsidR="00A76E8B" w:rsidRPr="00A607DA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5.1 </w:t>
      </w:r>
      <w:r w:rsidR="00A76E8B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-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se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concluiu o curso “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Da Educação Integral ao Ensino Integral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”, ofertado pela Escola de Formação e Aperfeiçoamento dos Profissionais da Educação “Paulo Renato Costa Souza” (EFAPE)</w:t>
      </w:r>
      <w:r w:rsidR="00A76E8B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3123A4E3" w14:textId="530DE7B9" w:rsidR="0065191F" w:rsidRPr="0065191F" w:rsidRDefault="0065191F" w:rsidP="00A76E8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5.2 </w:t>
      </w:r>
      <w:r w:rsidR="00A76E8B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-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se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responderá ao questionário específico disponibilizado com 10 (dez) questões relacionadas ao Programa, sendo que cada questão equivale a 1 (um) ponto, totalizando no máximo 10 pontos.</w:t>
      </w:r>
    </w:p>
    <w:p w14:paraId="7D3C3451" w14:textId="77777777" w:rsidR="00A76E8B" w:rsidRPr="00A607DA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F796F3C" w14:textId="09B013EC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6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O candidato, de que trata o item “5.1” deste Capítulo, deverá, obrigatoriamente, ter concluído o curso com aproveitamento “Satisfatório”, a fim de que sua inscrição no presente processo de 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Credenciamento Emergencial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seja validada.</w:t>
      </w:r>
    </w:p>
    <w:p w14:paraId="42F8E807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30AD2850" w14:textId="61EA1D39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7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Para o candidato que responder ao questionário a que se refere o item 5.2 deste Capítulo, a inscrição somente será validada ao obter pontuação igual, ou superior a 6,0 (seis).</w:t>
      </w:r>
    </w:p>
    <w:p w14:paraId="6D6FF4E3" w14:textId="77777777" w:rsidR="00A76E8B" w:rsidRPr="0065191F" w:rsidRDefault="00A76E8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7DF064E4" w14:textId="77777777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Na inscrição, todos os candidatos deverão preencher uma Atividade para cada função selecionada, que será considerada, exclusivamente, para fins de desempate, e, em caso de não preenchimento da referida Atividade, o candidato será eliminado do processo.</w:t>
      </w:r>
    </w:p>
    <w:p w14:paraId="2DF964DC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18C3BAAF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74F9B2A5" w14:textId="27DD7A5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IV – DO DEFERIMENTO DAS INSCRIÇÕES E DA CLASSIFICAÇÃO</w:t>
      </w:r>
    </w:p>
    <w:p w14:paraId="76AACF8A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2A475E14" w14:textId="2B48E413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Em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 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15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/08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será executado o deferimento/indeferimento das inscrições, a partir das informações registradas pelo interessado e cruzamento com a base de concluintes do curso </w:t>
      </w:r>
      <w:r w:rsidRPr="0065191F"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pt-BR"/>
        </w:rPr>
        <w:t>“Da Educação Integral ao Ensino Integral”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para prosseguimento nas demais etapas do processo.</w:t>
      </w:r>
    </w:p>
    <w:p w14:paraId="2CB2223B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38CA2423" w14:textId="77777777" w:rsidR="00DE38F6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processo seletivo de credenciamento será classificatório, por listas e faixas funcionais, em ordem decrescente da pontuação obtida no curso ou questionário.</w:t>
      </w:r>
    </w:p>
    <w:p w14:paraId="7ED77DDD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Faixa II corresponde aos candidatos da “Mesma Diretoria de Ensino”;</w:t>
      </w:r>
    </w:p>
    <w:p w14:paraId="0EF0DBBE" w14:textId="46CE4123" w:rsidR="0065191F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2.2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Faixa III corresponde aos candidatos de “Outra Diretoria de Ensino”.</w:t>
      </w:r>
    </w:p>
    <w:p w14:paraId="71A5B76D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1BA3A0A1" w14:textId="77777777" w:rsidR="00DE38F6" w:rsidRPr="00A607DA" w:rsidRDefault="0065191F" w:rsidP="00DE38F6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Para fins de desempate na classificação, observar-se-á:</w:t>
      </w:r>
    </w:p>
    <w:p w14:paraId="589FA8A5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3.1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 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pontuação obtida na classificação de docentes no processo anual de atribuição de classes e aulas, em nível de Diretoria de Ensino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;</w:t>
      </w:r>
    </w:p>
    <w:p w14:paraId="21E420C3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3.2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tempo de serviço no Magistério Público Oficial desta Secretaria;</w:t>
      </w:r>
    </w:p>
    <w:p w14:paraId="05342BC2" w14:textId="77777777" w:rsidR="00DE38F6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3.3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 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idade entre os credenciados;</w:t>
      </w:r>
    </w:p>
    <w:p w14:paraId="492ABD86" w14:textId="5D22615C" w:rsidR="0065191F" w:rsidRPr="00A607DA" w:rsidRDefault="0065191F" w:rsidP="00DE38F6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 xml:space="preserve">3.4 </w:t>
      </w:r>
      <w:proofErr w:type="gramStart"/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–  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maior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pontuação obtida na análise da Atividade de Sala de Aula.</w:t>
      </w:r>
    </w:p>
    <w:p w14:paraId="0AFDF6BE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7B58BAF" w14:textId="2B06703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Atividade de Sala de Aula/Atividade de Gestão será avaliada pela Diretoria de Ensino, exclusivamente para fins de desempate, na escala de 1,0 (um) a 3,0 (três) pontos, sendo que estes pontos não serão acrescidos à pontuação final.</w:t>
      </w:r>
    </w:p>
    <w:p w14:paraId="310BB623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5ABC6F6C" w14:textId="383E9FB6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A Classificação Prévia do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C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redenciamento será publicada no dia 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16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no site da Diretoria de Ensino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Pindamonhangaba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a partir do acesso ao link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</w:t>
      </w:r>
      <w:hyperlink r:id="rId6" w:history="1">
        <w:r w:rsidR="00DE38F6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0CAB4AE0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7958522A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709E9928" w14:textId="4C550127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V – DO RECURSO E DA CLASSIFICAÇÃO FINAL</w:t>
      </w:r>
    </w:p>
    <w:p w14:paraId="741A2495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713F01C" w14:textId="645366D2" w:rsidR="00DE38F6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candidato poderá interpor recurso a partir da divulgação da Classificação, no dia 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17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 xml:space="preserve"> até às 1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4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h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mediante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requerimento protocolado na Diretoria de Ensino, situada na Rua Soldado Roberto Marcondes, 324 - Jardim Rosely, Pindamonhangaba - SP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024163D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6E079BFD" w14:textId="4A6C00EE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recursos serão analisados no dia </w:t>
      </w:r>
      <w:r w:rsid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17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</w:t>
      </w:r>
      <w:r w:rsidR="00DE38F6" w:rsidRPr="00A607DA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8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1DBC3B6B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4F82BB4" w14:textId="406ABC26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A Classificação Final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ós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-R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ecurso será </w:t>
      </w:r>
      <w:proofErr w:type="gramStart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publicada  no</w:t>
      </w:r>
      <w:proofErr w:type="gramEnd"/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site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 </w:t>
      </w:r>
      <w:hyperlink r:id="rId7" w:history="1">
        <w:r w:rsidR="00DE38F6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no dia </w:t>
      </w:r>
      <w:r w:rsidR="0009509B" w:rsidRPr="0009509B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17</w:t>
      </w:r>
      <w:r w:rsidRPr="0065191F">
        <w:rPr>
          <w:rFonts w:eastAsia="Times New Roman" w:cstheme="minorHAnsi"/>
          <w:b/>
          <w:bCs/>
          <w:color w:val="444444"/>
          <w:sz w:val="24"/>
          <w:szCs w:val="24"/>
          <w:highlight w:val="yellow"/>
          <w:bdr w:val="none" w:sz="0" w:space="0" w:color="auto" w:frame="1"/>
          <w:lang w:eastAsia="pt-BR"/>
        </w:rPr>
        <w:t>/08/2022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4A844D64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39906091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414AC337" w14:textId="72D5724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VI – DA ALOCAÇÃO</w:t>
      </w:r>
    </w:p>
    <w:p w14:paraId="018D8182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6C2FECDE" w14:textId="4E61C29A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Os candidatos credenciados serão convocados para sessão de alocação, mediante publicação no Diário Oficial do Estado e </w:t>
      </w:r>
      <w:r w:rsidR="00DE38F6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no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site </w:t>
      </w:r>
      <w:hyperlink r:id="rId8" w:history="1">
        <w:r w:rsidR="00DE38F6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2D3A3C19" w14:textId="77777777" w:rsidR="00DE38F6" w:rsidRPr="0065191F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59F0354" w14:textId="2E2058E5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classificação no Processo de Credenciamento não assegura ao candidato o direito à alocação e consequente designação, tendo em vista a obrigatoriedade de comprovação dos requisitos autodeclarados no momento da inscrição e quantidade de vagas disponibilizadas.</w:t>
      </w:r>
    </w:p>
    <w:p w14:paraId="78D34BAA" w14:textId="77777777" w:rsidR="00DE38F6" w:rsidRPr="00A607DA" w:rsidRDefault="00DE38F6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404F589A" w14:textId="17737E44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 integrante do Quadro do Magistério não será alocado caso não atenda ao critério previsto no item 5 das Disposições Preliminares e dos Requisitos para o desempenho da função.</w:t>
      </w:r>
    </w:p>
    <w:p w14:paraId="3F06D06E" w14:textId="0E29A937" w:rsidR="0065191F" w:rsidRPr="00A607DA" w:rsidRDefault="0065191F" w:rsidP="00693EDE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3.1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Os docentes poderão ser designados junto ao Programa Ensino Integral – PEI, utilizando primeiramente a disciplina específica e depois a não específica da licenciatura plena, objeto do cargo/admissão ou de outra habilitação.</w:t>
      </w:r>
    </w:p>
    <w:p w14:paraId="6F4D5CD3" w14:textId="77777777" w:rsidR="00693EDE" w:rsidRPr="0065191F" w:rsidRDefault="00693EDE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376E68E" w14:textId="05110D61" w:rsidR="0065191F" w:rsidRPr="00A607DA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4 –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Os candidatos oriundos do Cadastro Emergencial/2022 somente poderão ser alocados na Diretoria de Ensino à qual estiver vinculada sua inscrição para o Processo de Atribuição de Aulas.</w:t>
      </w:r>
    </w:p>
    <w:p w14:paraId="7A3AE91F" w14:textId="77777777" w:rsidR="00693EDE" w:rsidRPr="0065191F" w:rsidRDefault="00693EDE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037779DB" w14:textId="3465A6B7" w:rsidR="0065191F" w:rsidRPr="0065191F" w:rsidRDefault="0065191F" w:rsidP="00824AB8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5 –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Para comprovação das habilitações/qualificações, o candidato deverá apresentar, no momento da alocação</w:t>
      </w:r>
      <w:r w:rsid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diploma, devidamente registrado, de conclusão de curso de Graduação, fornecido por instituição de ensino superior reconhecida pelo MEC,  acompanhado do Histórico Escolar ou</w:t>
      </w:r>
      <w:r w:rsidR="0013332B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 Declaração de C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onclusão de curso de graduação, no qual conste a data de colação de grau, acompanhado do Histórico Escolar</w:t>
      </w:r>
      <w:r w:rsidR="0013332B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ou Declaração de Matrícula indicando o curso e a condição de estar no último ano do nível universitário de 2022, conforme o caso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.</w:t>
      </w:r>
    </w:p>
    <w:p w14:paraId="2CFDB299" w14:textId="77777777" w:rsidR="0013332B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2FF9DF2E" w14:textId="77777777" w:rsidR="0013332B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</w:p>
    <w:p w14:paraId="6FFA02A1" w14:textId="3AB9785F" w:rsid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VII – DISPOSIÇÕES FINAIS</w:t>
      </w:r>
    </w:p>
    <w:p w14:paraId="784BAFB2" w14:textId="41125592" w:rsidR="0013332B" w:rsidRPr="0065191F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28D300D1" w14:textId="77777777" w:rsidR="0013332B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É de responsabilidade do candidato:</w:t>
      </w:r>
    </w:p>
    <w:p w14:paraId="5F53D34B" w14:textId="5976CB58" w:rsidR="0013332B" w:rsidRDefault="0065191F" w:rsidP="0013332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Acompanhar, por meio do Diário Oficial do Estado e do site da Diretoria de Ensin</w:t>
      </w:r>
      <w:r w:rsidR="004E0ED9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o, a partir do acesso ao link </w:t>
      </w:r>
      <w:hyperlink r:id="rId9" w:history="1">
        <w:r w:rsidR="0013332B" w:rsidRPr="00A607DA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  <w:lang w:eastAsia="pt-BR"/>
          </w:rPr>
          <w:t>https://depindamonhangaba.educacao.sp.gov.br/</w:t>
        </w:r>
      </w:hyperlink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), as publicações correspondentes a este Processo.</w:t>
      </w:r>
    </w:p>
    <w:p w14:paraId="6543CFC0" w14:textId="1B20EE09" w:rsidR="0065191F" w:rsidRDefault="0065191F" w:rsidP="0013332B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1.2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veracidade das informações e a exatidão das declarações e regularidade de documentos.</w:t>
      </w:r>
    </w:p>
    <w:p w14:paraId="595897F3" w14:textId="77777777" w:rsidR="0013332B" w:rsidRPr="0065191F" w:rsidRDefault="0013332B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</w:p>
    <w:p w14:paraId="29322D9D" w14:textId="77777777" w:rsidR="004E0ED9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Caso alguma informação ou dado prestado no processo de credenciamento emergencial não seja devidamente comprovado pelo candidato no momento da alocação, o integrante do Quadro do Magistério será desclassificado.</w:t>
      </w:r>
    </w:p>
    <w:p w14:paraId="72A88309" w14:textId="77777777" w:rsidR="004E0ED9" w:rsidRDefault="0065191F" w:rsidP="004E0ED9">
      <w:pPr>
        <w:spacing w:after="0" w:line="330" w:lineRule="atLeast"/>
        <w:ind w:left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t>2.1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 – A constatação de falsidade, irregularidade ou inexatidão de dados ou documentos, ainda que verificadas posteriormente, acarretarão a eliminação do candidato do Processo de Credenciamento, anulando-se todos os atos decorrentes da inscrição.</w:t>
      </w:r>
    </w:p>
    <w:p w14:paraId="2B796AAF" w14:textId="24B2991C" w:rsidR="0065191F" w:rsidRPr="0065191F" w:rsidRDefault="0065191F" w:rsidP="0065191F">
      <w:pPr>
        <w:spacing w:after="0" w:line="330" w:lineRule="atLeast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t-BR"/>
        </w:rPr>
      </w:pPr>
      <w:r w:rsidRPr="0065191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t-BR"/>
        </w:rPr>
        <w:lastRenderedPageBreak/>
        <w:t>3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 xml:space="preserve"> – Os casos omissos serão resolvidos pela Diretoria de Ensino – Região </w:t>
      </w:r>
      <w:r w:rsidR="00244901" w:rsidRPr="00A607DA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Pindamonhangaba</w:t>
      </w:r>
      <w:r w:rsidRPr="0065191F">
        <w:rPr>
          <w:rFonts w:eastAsia="Times New Roman" w:cstheme="minorHAnsi"/>
          <w:color w:val="444444"/>
          <w:sz w:val="24"/>
          <w:szCs w:val="24"/>
          <w:bdr w:val="none" w:sz="0" w:space="0" w:color="auto" w:frame="1"/>
          <w:lang w:eastAsia="pt-BR"/>
        </w:rPr>
        <w:t>, após consulta à Coordenadoria de Gestão de Recursos Humanos – CGRH, conforme o caso.</w:t>
      </w:r>
    </w:p>
    <w:p w14:paraId="455065DF" w14:textId="77777777" w:rsidR="00047810" w:rsidRPr="00A607DA" w:rsidRDefault="00047810" w:rsidP="0065191F">
      <w:pPr>
        <w:jc w:val="both"/>
        <w:rPr>
          <w:rFonts w:cstheme="minorHAnsi"/>
          <w:sz w:val="24"/>
          <w:szCs w:val="24"/>
        </w:rPr>
      </w:pPr>
    </w:p>
    <w:sectPr w:rsidR="00047810" w:rsidRPr="00A60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1F"/>
    <w:rsid w:val="00047810"/>
    <w:rsid w:val="0009509B"/>
    <w:rsid w:val="001009C2"/>
    <w:rsid w:val="0013332B"/>
    <w:rsid w:val="00162389"/>
    <w:rsid w:val="00244901"/>
    <w:rsid w:val="004E0ED9"/>
    <w:rsid w:val="0065191F"/>
    <w:rsid w:val="00693EDE"/>
    <w:rsid w:val="00824AB8"/>
    <w:rsid w:val="00A607DA"/>
    <w:rsid w:val="00A76E8B"/>
    <w:rsid w:val="00D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5EE"/>
  <w15:chartTrackingRefBased/>
  <w15:docId w15:val="{9E1E4712-8201-4F60-9240-6CA20AE7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91F"/>
    <w:rPr>
      <w:b/>
      <w:bCs/>
    </w:rPr>
  </w:style>
  <w:style w:type="character" w:styleId="nfase">
    <w:name w:val="Emphasis"/>
    <w:basedOn w:val="Fontepargpadro"/>
    <w:uiPriority w:val="20"/>
    <w:qFormat/>
    <w:rsid w:val="0065191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449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49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49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49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490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449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49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3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ndamonhangaba.educacao.sp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indamonhangaba.educacao.sp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indamonhangaba.educacao.sp.gov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pEResU2gsF4m4XiX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pindamonhangaba.educacao.sp.gov.br/" TargetMode="External"/><Relationship Id="rId9" Type="http://schemas.openxmlformats.org/officeDocument/2006/relationships/hyperlink" Target="https://depindamonhangaba.educacao.sp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1740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4</cp:revision>
  <dcterms:created xsi:type="dcterms:W3CDTF">2022-07-27T13:12:00Z</dcterms:created>
  <dcterms:modified xsi:type="dcterms:W3CDTF">2022-08-09T17:48:00Z</dcterms:modified>
</cp:coreProperties>
</file>