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0BA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F460BA">
      <w:pPr>
        <w:spacing w:after="150" w:line="270" w:lineRule="atLeast"/>
        <w:jc w:val="center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INSTRUÇÃO DDPE/G Nº 00002/2007, </w:t>
      </w:r>
    </w:p>
    <w:p w:rsidR="00000000" w:rsidRDefault="00F460BA">
      <w:pPr>
        <w:spacing w:after="150" w:line="270" w:lineRule="atLeast"/>
        <w:ind w:left="708" w:firstLine="708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Publicada no DOE de 24/05/2007</w:t>
      </w:r>
    </w:p>
    <w:p w:rsidR="00000000" w:rsidRDefault="00F460BA">
      <w:pPr>
        <w:spacing w:after="150" w:line="270" w:lineRule="atLeast"/>
        <w:jc w:val="both"/>
        <w:rPr>
          <w:rFonts w:ascii="Arial" w:hAnsi="Arial"/>
          <w:b/>
          <w:snapToGrid w:val="0"/>
          <w:sz w:val="22"/>
        </w:rPr>
      </w:pP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SUBSTITUIÇÃO DOCENT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E EVENTUAL/ REPOSIÇÃO/ G.T.C.N./ A.L.E/ SERV.EXTRA - 16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, emitido pelos Órgãos do Sistema de Administração de Pessoal das unidades da Secretaria da Educação expede a presente instrução: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b/>
          <w:color w:val="000000"/>
          <w:sz w:val="22"/>
          <w:szCs w:val="22"/>
          <w:lang w:val="pt-BR"/>
        </w:rPr>
        <w:t>I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– O formulário Substituição Docente Eventual/ Reposição / G.T.C.N /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A.L.E / Serv. Extra, é utilizado para a série de classes Docentes, para informar as aulas ministradas em caráter eventual, nas situações específicas, conforme a legislação em vigor e deverá ser elaborado tendo em vista o modelo constante nesta instrução;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ROTEIRO DE PREENCHIMENTO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1-IDENTIFICAÇÃO DA UNIDADE</w:t>
      </w:r>
      <w:r>
        <w:rPr>
          <w:rFonts w:ascii="Arial" w:hAnsi="Arial"/>
          <w:color w:val="000000"/>
          <w:sz w:val="24"/>
          <w:lang w:val="pt-BR"/>
        </w:rPr>
        <w:t xml:space="preserve">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1.1    DIRETORIA DE ENSINO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ndicar a denominação da Diretoria de Ensino, a qual está subordinada a UNIDADE, conforme dados constantes 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1.2    U.C.D.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o código da Unidade Co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ntroladora de Despesa, da Divisão Seccional e a Seção de Despesa a qual está vinculada a U.A., conforme dados constantes 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1.3    CÓDIGO DA UA / DENOMINAÇÃO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código numérico da Unidade Administrativa, bem como a denominação, 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conforme dados constantes 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1.4    MUNICÍPIO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município o qual está vinculada a unidade, conforme dados constantes na folha de pagamento.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2-IDENTIFICAÇÃO DO SERVIDOR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2.1    R.G.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"Indicar o número do registro geral do servido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r, conforme consta 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2.2    RS / PV / EX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número do registro do sistema / provimento / variação de exercício, conforme consta 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2.3    NOME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lastRenderedPageBreak/>
        <w:t xml:space="preserve">Indicar o nome completo do servidor, conforme dados constantes 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na folha de pagamento;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2.4    CARGO/FUNÇÃO DENOMINAÇÃO.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a denominação do cargo ou função atividade exercida pelo servidor, conforme dados constantes na folha de pagamento.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2.5    CATEGORIA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a categoria funcional do servidor, conforme dado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s constantes na folha de pagamento.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3-DADOS PARA PAGAMENTO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3.1    MÊS/ ANO DE REF.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mês e ano de processamento da folha de pagamento na qual serão inseridos os dados informados;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3.2    É COMPLEMENTAÇÃO? (  ) “S” SE SIM</w:t>
      </w:r>
      <w:r>
        <w:rPr>
          <w:rFonts w:ascii="Arial" w:hAnsi="Arial"/>
          <w:color w:val="000000"/>
          <w:sz w:val="24"/>
          <w:lang w:val="pt-BR"/>
        </w:rPr>
        <w:t xml:space="preserve">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com “S” se for um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a complementação de substituição docente já paga;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3.3    SERV. EXTRA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3.3.1  QTDE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Indicar, quando for o caso, a quantidade de horas a serem pagas, desde que devidamente autorizadas;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3.3.2  D.O.E.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Informar a data de publicação no Diário Oficial do Estado q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ue autorizou a prestação do serviço extraordinário;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3.4    MÊS/ANO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mês e ano a que se refere o pagamento das aulas de 1ª a 4ª, 5ª à 8ª, Ensino Médio e Auxílio Transporte; </w:t>
      </w:r>
    </w:p>
    <w:p w:rsidR="00000000" w:rsidRDefault="00F460BA">
      <w:pPr>
        <w:pStyle w:val="7"/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3.4.1  P/R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P - </w:t>
      </w:r>
      <w:r>
        <w:rPr>
          <w:rFonts w:ascii="Arial" w:hAnsi="Arial"/>
          <w:color w:val="000000"/>
          <w:sz w:val="24"/>
          <w:lang w:val="pt-BR"/>
        </w:rPr>
        <w:t>PAGAR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R – </w:t>
      </w:r>
      <w:r>
        <w:rPr>
          <w:rFonts w:ascii="Arial" w:hAnsi="Arial"/>
          <w:color w:val="000000"/>
          <w:sz w:val="24"/>
          <w:lang w:val="pt-BR"/>
        </w:rPr>
        <w:t>REPOR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3.5    AULAS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tipo de aula a que </w:t>
      </w:r>
      <w:r>
        <w:rPr>
          <w:rFonts w:ascii="Arial" w:hAnsi="Arial"/>
          <w:color w:val="000000"/>
          <w:sz w:val="22"/>
          <w:szCs w:val="22"/>
          <w:lang w:val="pt-BR"/>
        </w:rPr>
        <w:t>se refere: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Substituição Docente Eventual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Aulas de Reposição;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3.6    1ª A 4ª SÉRIE: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HORAS: Indicar a quantidade ministrada pelo docente, observando o limite de 200horas mensais;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·G.T.C.N: Indicar a quantidade de horas mensais de acordo com as horas mini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stradas, observando o limite de 100 horas;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A. L. E: Indicar a quantidade de horas mensais de acordo com as horas ministradas;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U.A.: Indicar o código da Unidade Administrativa que o docente faz jus a receber o adicional local de exercício;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O referido cam</w:t>
      </w:r>
      <w:r>
        <w:rPr>
          <w:rFonts w:ascii="Arial" w:hAnsi="Arial"/>
          <w:color w:val="000000"/>
          <w:sz w:val="22"/>
          <w:szCs w:val="22"/>
          <w:lang w:val="pt-BR"/>
        </w:rPr>
        <w:t>po deverá ser preenchido, quando a sede de controle de freqüência do servidor não fizer jus a receber a vantagem. Para os casos em que o servidor substitua em mais de uma U.A. e faça jus a vantagem, deverá ser considerada a de maior quantidade de horas men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sais válidas para o adicional local de exercício, sendo que se as quantidades forem iguais, o critério de seleção é opcional;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3.7    5ª A 8ª SÉRIE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HORAS: Indicar a quantidade ministrada pelo docente, observando o limite de 200 horas mensais.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G.T.C.N: Ind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icar a quantidade de horas mensais de acordo com as horas ministradas, observando o limite de 100 horas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A. L. E: Indicar a quantidade de horas mensais de acordo com as horas ministradas;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U.A: Indicar o código da Unidade Administrativa que o docente faz j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us a receber o adicional local de exercício.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NOTA: O referido campo deverá ser preenchido, quando a sede de controle de freqüência do servidor não fizer jus a receber a vantagem. Para os casos em que o servidor substitua em mais de uma U.A. e faça jus a v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antagem, deverá ser considerada a de maior quantidade de horas mensais válidas para o adicional local de exercício, sendo que se as quantidades forem iguais, o critério de seleção é opcional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3.8    ENSINO MÉDIO.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HORAS: Indicar a quantidade ministrada pelo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docente, observando o limite de 200 horas mensais.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G.T.C.N: Indicar a quantidade de horas mensais de acordo com as horas ministradas, observando o limite de 100 horas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A. L. E: Indicar a quantidade de horas mensais de acordo com as horas ministradas;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U.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A: Indicar o código da Unidade Administrativa que o docente faz jus a receber o adicional local de exercício.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NOTA: O referido campo deverá ser preenchido, quando a sede de controle de freqüência do servidor não fizer jus a receber a vantagem. Para os c</w:t>
      </w:r>
      <w:r>
        <w:rPr>
          <w:rFonts w:ascii="Arial" w:hAnsi="Arial"/>
          <w:color w:val="000000"/>
          <w:sz w:val="22"/>
          <w:szCs w:val="22"/>
          <w:lang w:val="pt-BR"/>
        </w:rPr>
        <w:t>asos em que o servidor substitua em mais de uma U.A. e faça jus a vantagem, deverá ser considerada a de maior quantidade de horas mensais válidas para o adicional local de exercício, sendo que se as quantidades forem iguais, o critério de seleção é opciona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l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3.9    AUXÍLIO TRANSPORTE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Preencher somente para o docente substituto eventual “categoria S”. Indicar a quantidade de dias efetivamente trabalhados no mês da substituição.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NOTA: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Este campo só poderá ser preenchido, se houver informação de aulas simulta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neamente.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Existindo informação de diversos tipos de aula, efetuar a somatória dos dias trabalhados e informá-los em um único formulário (o de maior quantidade de aulas)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4-IDENTIFICAÇÃO DO SUBSTITUÍDO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4.1    AULAS DE 1ª A 4ª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RS/PV-SUBSTITUÍDO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número do RS/PV do docente que foi substituído;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HORAS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a quantidade de horas substituídas ;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4.2    AULAS DE 5ª A 8ª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RS/PV-SUBSTITUÍDO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o número do RS/PV do docente que foi substituído; 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HORAS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a quantidade de horas substituídas.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4.3</w:t>
      </w:r>
      <w:r>
        <w:rPr>
          <w:rFonts w:ascii="Arial" w:hAnsi="Arial"/>
          <w:b/>
          <w:color w:val="000000"/>
          <w:sz w:val="24"/>
          <w:lang w:val="pt-BR"/>
        </w:rPr>
        <w:t>    AULAS DE ENSINO MÉDIO.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RS/PV-SUBSTITUÍDO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o número do RS/PV do docente que foi substituído;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HORAS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 xml:space="preserve">Indicar a quantidade de horas substituídas.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5-LOCAL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município o qual está vinculada a unidade. 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6-DATA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a data do preenchimento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do formulário.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7-PREENCHIDO POR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Indicar o nome do responsável pelo preenchimento do formulário.</w:t>
      </w:r>
    </w:p>
    <w:p w:rsidR="00000000" w:rsidRDefault="00F460BA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8-ASSINATURA DO DIRETOR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Assinatura e carimbo do Diretor ou responsável</w:t>
      </w:r>
    </w:p>
    <w:p w:rsidR="00000000" w:rsidRDefault="00F460BA">
      <w:pPr>
        <w:pStyle w:val="7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b/>
          <w:color w:val="000000"/>
          <w:sz w:val="22"/>
          <w:szCs w:val="22"/>
          <w:lang w:val="pt-BR"/>
        </w:rPr>
        <w:t>II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 – Esta instrução entrará em vigor na data de sua publicação, ficando revogada a publi</w:t>
      </w:r>
      <w:r>
        <w:rPr>
          <w:rFonts w:ascii="Arial" w:hAnsi="Arial"/>
          <w:color w:val="000000"/>
          <w:sz w:val="22"/>
          <w:szCs w:val="22"/>
          <w:lang w:val="pt-BR"/>
        </w:rPr>
        <w:t xml:space="preserve">cada anteriormente. </w:t>
      </w:r>
    </w:p>
    <w:p w:rsidR="00000000" w:rsidRDefault="00F460BA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F460BA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F460BA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sectPr w:rsidR="00000000">
      <w:headerReference w:type="default" r:id="rId6"/>
      <w:footerReference w:type="default" r:id="rId7"/>
      <w:pgSz w:w="11907" w:h="16840"/>
      <w:pgMar w:top="1134" w:right="1134" w:bottom="1276" w:left="1418" w:header="1134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460BA">
      <w:r>
        <w:separator/>
      </w:r>
    </w:p>
  </w:endnote>
  <w:endnote w:type="continuationSeparator" w:id="0">
    <w:p w:rsidR="00000000" w:rsidRDefault="00F4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9356"/>
    </w:tblGrid>
    <w:tr w:rsidR="00000000">
      <w:tblPrEx>
        <w:tblCellMar>
          <w:top w:w="0" w:type="dxa"/>
          <w:bottom w:w="0" w:type="dxa"/>
        </w:tblCellMar>
      </w:tblPrEx>
      <w:trPr>
        <w:trHeight w:val="262"/>
        <w:tblHeader/>
      </w:trPr>
      <w:tc>
        <w:tcPr>
          <w:tcW w:w="9356" w:type="dxa"/>
          <w:tcBorders>
            <w:top w:val="single" w:sz="6" w:space="0" w:color="FF0000"/>
          </w:tcBorders>
        </w:tcPr>
        <w:p w:rsidR="00000000" w:rsidRDefault="00F460BA">
          <w:pPr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Av. Rangel Pestana, 300 - 14º andar - São Paulo - S.P.- CEP 01091-900 - TEL. 324</w:t>
          </w:r>
          <w:r>
            <w:rPr>
              <w:rFonts w:ascii="Arial" w:hAnsi="Arial"/>
              <w:snapToGrid w:val="0"/>
              <w:sz w:val="16"/>
            </w:rPr>
            <w:t>3-3519/4968/4514 - FAX 3243.3765</w:t>
          </w:r>
        </w:p>
        <w:p w:rsidR="00000000" w:rsidRDefault="00F460BA">
          <w:pPr>
            <w:rPr>
              <w:snapToGrid w:val="0"/>
              <w:lang w:val="en-US"/>
            </w:rPr>
          </w:pPr>
          <w:r>
            <w:rPr>
              <w:rFonts w:ascii="Arial" w:hAnsi="Arial"/>
              <w:snapToGrid w:val="0"/>
              <w:sz w:val="16"/>
              <w:lang w:val="en-US"/>
            </w:rPr>
            <w:t xml:space="preserve">Email: </w:t>
          </w:r>
          <w:r>
            <w:rPr>
              <w:rFonts w:ascii="Arial" w:hAnsi="Arial"/>
              <w:snapToGrid w:val="0"/>
              <w:color w:val="0000FF"/>
              <w:sz w:val="16"/>
              <w:u w:val="single"/>
              <w:lang w:val="en-US"/>
            </w:rPr>
            <w:t>ddpe@fazenda.sp.gov.br</w:t>
          </w:r>
        </w:p>
        <w:p w:rsidR="00000000" w:rsidRDefault="00F460BA">
          <w:pPr>
            <w:rPr>
              <w:snapToGrid w:val="0"/>
              <w:lang w:val="en-US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460BA">
      <w:r>
        <w:separator/>
      </w:r>
    </w:p>
  </w:footnote>
  <w:footnote w:type="continuationSeparator" w:id="0">
    <w:p w:rsidR="00000000" w:rsidRDefault="00F4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60BA">
    <w:pPr>
      <w:widowControl w:val="0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131445</wp:posOffset>
          </wp:positionV>
          <wp:extent cx="765810" cy="854710"/>
          <wp:effectExtent l="19050" t="0" r="0" b="0"/>
          <wp:wrapTight wrapText="bothSides">
            <wp:wrapPolygon edited="0">
              <wp:start x="-537" y="0"/>
              <wp:lineTo x="-537" y="21183"/>
              <wp:lineTo x="21493" y="21183"/>
              <wp:lineTo x="21493" y="0"/>
              <wp:lineTo x="-537" y="0"/>
            </wp:wrapPolygon>
          </wp:wrapTight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64" w:type="dxa"/>
      <w:tblLayout w:type="fixed"/>
      <w:tblCellMar>
        <w:left w:w="70" w:type="dxa"/>
        <w:right w:w="70" w:type="dxa"/>
      </w:tblCellMar>
      <w:tblLook w:val="0000"/>
    </w:tblPr>
    <w:tblGrid>
      <w:gridCol w:w="2010"/>
      <w:gridCol w:w="7352"/>
    </w:tblGrid>
    <w:tr w:rsidR="00000000">
      <w:tblPrEx>
        <w:tblCellMar>
          <w:top w:w="0" w:type="dxa"/>
          <w:bottom w:w="0" w:type="dxa"/>
        </w:tblCellMar>
      </w:tblPrEx>
      <w:trPr>
        <w:trHeight w:val="1544"/>
      </w:trPr>
      <w:tc>
        <w:tcPr>
          <w:tcW w:w="2010" w:type="dxa"/>
          <w:tcBorders>
            <w:bottom w:val="single" w:sz="8" w:space="0" w:color="FF0000"/>
          </w:tcBorders>
        </w:tcPr>
        <w:p w:rsidR="00000000" w:rsidRDefault="00F460BA">
          <w:pPr>
            <w:widowControl w:val="0"/>
            <w:jc w:val="center"/>
            <w:rPr>
              <w:snapToGrid w:val="0"/>
            </w:rPr>
          </w:pPr>
        </w:p>
        <w:p w:rsidR="00000000" w:rsidRDefault="00F460BA">
          <w:pPr>
            <w:widowControl w:val="0"/>
            <w:jc w:val="center"/>
            <w:rPr>
              <w:snapToGrid w:val="0"/>
            </w:rPr>
          </w:pPr>
        </w:p>
      </w:tc>
      <w:tc>
        <w:tcPr>
          <w:tcW w:w="7352" w:type="dxa"/>
          <w:tcBorders>
            <w:bottom w:val="single" w:sz="8" w:space="0" w:color="FF0000"/>
          </w:tcBorders>
        </w:tcPr>
        <w:p w:rsidR="00000000" w:rsidRDefault="00F460BA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rFonts w:ascii="Arial" w:hAnsi="Arial"/>
              <w:b/>
              <w:snapToGrid w:val="0"/>
              <w:sz w:val="22"/>
            </w:rPr>
            <w:t>SECRETARIA DA FAZENDA</w:t>
          </w:r>
        </w:p>
        <w:p w:rsidR="00000000" w:rsidRDefault="00F460BA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Coordenação da Administração Financeira - CAF</w:t>
          </w:r>
        </w:p>
        <w:p w:rsidR="00000000" w:rsidRDefault="00F460BA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Departamento de Despesa de Pessoal do Estado - DDPE</w:t>
          </w:r>
        </w:p>
        <w:p w:rsidR="00000000" w:rsidRDefault="00F460BA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Gabinete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60"/>
      </w:trPr>
      <w:tc>
        <w:tcPr>
          <w:tcW w:w="9362" w:type="dxa"/>
          <w:gridSpan w:val="2"/>
          <w:tcBorders>
            <w:bottom w:val="single" w:sz="8" w:space="0" w:color="008000"/>
          </w:tcBorders>
        </w:tcPr>
        <w:p w:rsidR="00000000" w:rsidRDefault="00F460BA">
          <w:pPr>
            <w:rPr>
              <w:snapToGrid w:val="0"/>
              <w:sz w:val="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60BA"/>
    <w:rsid w:val="00F4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pPr>
      <w:spacing w:after="150" w:line="270" w:lineRule="atLeast"/>
      <w:jc w:val="both"/>
    </w:pPr>
    <w:rPr>
      <w:rFonts w:ascii="Verdana" w:hAnsi="Verdana"/>
      <w:color w:val="FF0000"/>
      <w:sz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DDPE/G Nº 00002/2007</vt:lpstr>
    </vt:vector>
  </TitlesOfParts>
  <Company>sef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DDPE/G Nº 00002/2007</dc:title>
  <dc:creator>secretaria da fazenda</dc:creator>
  <cp:lastModifiedBy>Rosana</cp:lastModifiedBy>
  <cp:revision>2</cp:revision>
  <cp:lastPrinted>2007-05-22T13:21:00Z</cp:lastPrinted>
  <dcterms:created xsi:type="dcterms:W3CDTF">2012-09-30T00:48:00Z</dcterms:created>
  <dcterms:modified xsi:type="dcterms:W3CDTF">2012-09-30T00:48:00Z</dcterms:modified>
</cp:coreProperties>
</file>