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xxxx, xx de xxxx de 2022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 Nº XX/2022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Assunto: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TRANSPORTE ESCOLAR ADAPTADO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Senhora Dirigente Regional,</w:t>
      </w:r>
    </w:p>
    <w:p w:rsidR="00000000" w:rsidDel="00000000" w:rsidP="00000000" w:rsidRDefault="00000000" w:rsidRPr="00000000" w14:paraId="00000007">
      <w:pPr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Encaminhamos para apreciação e homologação desta Diretoria Regional de Ensino, expediente em nome de xxxxxxxx, RA:xxx.xxx.xxx-x, aluno(a) regularmente matriculado(a) e frequente no(a): xº ano/série, turma X do Ensino Fundamental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ll /Médio, no período INTEGRAL/REGULAR nesta unidade escolar, morador à rua/av. XXXXXXXX, Nº. XX, bairro: XXXX em XXX - SP, afim de que o(a) mesmo(a) seja  atendido(a) com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TRANSPORTE ESCOLAR ADAPTADO PARA DEFICIENTE  Paralisia Cerebral SEM/COM PRESENÇA DE MONITOR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em conformidade com o disposto no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Artigo  4º da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sz w:val="24"/>
            <w:szCs w:val="24"/>
            <w:u w:val="single"/>
            <w:vertAlign w:val="baseline"/>
            <w:rtl w:val="0"/>
          </w:rPr>
          <w:t xml:space="preserve">Resolução SE Nº 27, de 09 de maio de 2011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uma vez que o (a) menor supramencionado (a):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    ) É cadeirante/ deficiente físico com perda permanente das funções motoras dos membros que o(a)  impede de se locomover de forma autônoma;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    ) É autista, com quadro associado de deficiência intelectual moderada ou grave, suscetível de comportamentos agressivos e que necessita de acompanhante familiar;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(X) É deficiente intelectual, com grave comprometimento e com limitações significativas de locomoção;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    ) É surdocego, com dificuldades de comunicação e de mobilidade;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    ) É aluno com deficiência múltipla que necessita de apoio contínuo;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(   ) É cego / visão subnormal e não apresenta autonomia e mobilidade necessárias e suficientes para se localizar e percorrer, temporariamente, o trajeto casa/escola/casa.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134"/>
        </w:tabs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Aproveitamos a oportunidade para reiterar a Vossa Senhoria os protestos de elevada estima e consideração.</w:t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____________________________</w:t>
      </w:r>
    </w:p>
    <w:p w:rsidR="00000000" w:rsidDel="00000000" w:rsidP="00000000" w:rsidRDefault="00000000" w:rsidRPr="00000000" w14:paraId="00000012">
      <w:pPr>
        <w:tabs>
          <w:tab w:val="left" w:pos="3096"/>
          <w:tab w:val="center" w:pos="5103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         </w:t>
        <w:tab/>
        <w:t xml:space="preserve">Carimbo e assinatura do Diretor de Escola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Ilmo. Sr(a)  Luciane de Camargo Mendes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Dirigente Regional de Ensino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Diretoria de Ensino – São Roque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7" w:orient="portrait"/>
      <w:pgMar w:bottom="568" w:top="1418" w:left="851" w:right="850" w:header="72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5298440</wp:posOffset>
          </wp:positionH>
          <wp:positionV relativeFrom="paragraph">
            <wp:posOffset>-43179</wp:posOffset>
          </wp:positionV>
          <wp:extent cx="1397000" cy="47498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7000" cy="4749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-126999</wp:posOffset>
              </wp:positionV>
              <wp:extent cx="4352925" cy="931412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74300" y="3180552"/>
                        <a:ext cx="4343400" cy="916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Governo do Estado de São Paulo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Secretaria de Estado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Diretoria de Ensino Região São Roque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-126999</wp:posOffset>
              </wp:positionV>
              <wp:extent cx="4352925" cy="931412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2925" cy="9314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24131</wp:posOffset>
          </wp:positionH>
          <wp:positionV relativeFrom="paragraph">
            <wp:posOffset>46355</wp:posOffset>
          </wp:positionV>
          <wp:extent cx="803275" cy="810895"/>
          <wp:effectExtent b="0" l="0" r="0" t="0"/>
          <wp:wrapSquare wrapText="bothSides" distB="0" distT="0" distL="114300" distR="114300"/>
          <wp:docPr id="2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3275" cy="8108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5364480</wp:posOffset>
          </wp:positionH>
          <wp:positionV relativeFrom="paragraph">
            <wp:posOffset>46355</wp:posOffset>
          </wp:positionV>
          <wp:extent cx="1003935" cy="911225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935" cy="911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both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8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360" w:lineRule="auto"/>
      <w:ind w:left="1276" w:leftChars="-1" w:rightChars="0" w:hanging="1276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360" w:lineRule="auto"/>
      <w:ind w:left="708"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siau.edunet.sp.gov.br/ItemLise/arquivos/27_11.HTM?Time=8/26/2012%2010:54:13%20PM" TargetMode="Externa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kTJoQX9QL656so16QuZ8hzYOg==">AMUW2mXiB/1dBMUDT0qLNtVFb5KH20M7jsCKCQ7T0whHlCRUYIH7ccv5h16bNidO55Is4WMSRCKqrooR/FgWmueAoEOUgN59h3pPmPgiuDffd//Wz3LO2tQ=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2022-04-07T19:41:00Z</dcterms:created>
  <dc:creator>Filinto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