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9634" w14:textId="3FCBC7A0" w:rsidR="002949E6" w:rsidRDefault="000A2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</w:t>
      </w:r>
    </w:p>
    <w:p w14:paraId="265C2521" w14:textId="77777777" w:rsidR="002949E6" w:rsidRDefault="00E84787">
      <w:pPr>
        <w:ind w:left="283" w:right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 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ATPC 2022 </w:t>
      </w:r>
    </w:p>
    <w:p w14:paraId="38092D78" w14:textId="2FE586EC" w:rsidR="002949E6" w:rsidRDefault="00E84787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Núcleo Pedagógico da Diretoria de Ensino comunica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as ATPC voltadas aos professores de Anos Finais do Ensino Fundamental e Ensino Médio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serão distribuídas ao longo das semanas, não havendo a obrigatoriedade de dias </w:t>
      </w:r>
      <w:r w:rsidR="000A287E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da semana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específicos por área do </w:t>
      </w:r>
      <w:r w:rsidR="000A287E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conhecimento</w:t>
      </w:r>
      <w:r w:rsidR="000A287E">
        <w:rPr>
          <w:rFonts w:ascii="Times New Roman" w:eastAsia="Times New Roman" w:hAnsi="Times New Roman" w:cs="Times New Roman"/>
          <w:sz w:val="24"/>
          <w:szCs w:val="24"/>
          <w:highlight w:val="white"/>
        </w:rPr>
        <w:t>, possibilitando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 ATPC Geral - semanal presencial na escola com a participação dos professores da Unidade Escolar (Semana A pauta elaborada pela UE, Semana B pauta elaborada pela DE).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Outra novidade são as ATPC específicas para os Professores que atuarão no Ensino Médio, desenvolvendo aulas nos aprofundamentos curriculares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(Semana B), cujos temas das formações foram organizados em Semana A e Semana B, conforme segue:</w:t>
      </w:r>
    </w:p>
    <w:p w14:paraId="53221D33" w14:textId="12BEAB5C" w:rsidR="002949E6" w:rsidRDefault="000A287E">
      <w:pPr>
        <w:numPr>
          <w:ilvl w:val="0"/>
          <w:numId w:val="1"/>
        </w:numPr>
        <w:ind w:left="283" w:right="568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5F989C4" wp14:editId="39A0DD6B">
            <wp:simplePos x="0" y="0"/>
            <wp:positionH relativeFrom="column">
              <wp:posOffset>139700</wp:posOffset>
            </wp:positionH>
            <wp:positionV relativeFrom="paragraph">
              <wp:posOffset>152400</wp:posOffset>
            </wp:positionV>
            <wp:extent cx="6250940" cy="4016375"/>
            <wp:effectExtent l="0" t="0" r="0" b="3175"/>
            <wp:wrapNone/>
            <wp:docPr id="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401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84787">
        <w:rPr>
          <w:rFonts w:ascii="Times New Roman" w:eastAsia="Times New Roman" w:hAnsi="Times New Roman" w:cs="Times New Roman"/>
          <w:sz w:val="24"/>
          <w:szCs w:val="24"/>
          <w:highlight w:val="white"/>
        </w:rPr>
        <w:t>ATPC comuns a todos professores que atuam nos Anos Finais do Ensino Fundamental e Ensino Médio.</w:t>
      </w:r>
    </w:p>
    <w:p w14:paraId="5EC707BD" w14:textId="67ED395E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480D22D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D0BCD22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8C96173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0AC594A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EA1D90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67CE133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FD82ABC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2EC3387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A81BBF4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E14476B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B04D485" w14:textId="5F89719D" w:rsidR="002949E6" w:rsidRDefault="000A287E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0CFD374" wp14:editId="65124F92">
            <wp:simplePos x="0" y="0"/>
            <wp:positionH relativeFrom="column">
              <wp:posOffset>177800</wp:posOffset>
            </wp:positionH>
            <wp:positionV relativeFrom="paragraph">
              <wp:posOffset>188595</wp:posOffset>
            </wp:positionV>
            <wp:extent cx="6200775" cy="1824990"/>
            <wp:effectExtent l="0" t="0" r="9525" b="3810"/>
            <wp:wrapNone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82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59EDE0" w14:textId="0AF4771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C077215" w14:textId="53143515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4B062F2" w14:textId="1375D218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A09ABB3" w14:textId="500CC8B8" w:rsidR="000A287E" w:rsidRDefault="000A287E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57D1AC1" w14:textId="7B7824C4" w:rsidR="000A287E" w:rsidRDefault="000A287E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B277E6B" w14:textId="77777777" w:rsidR="000A287E" w:rsidRDefault="000A287E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D0DD84" w14:textId="56049C7C" w:rsidR="002949E6" w:rsidRDefault="000A287E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571C3E4" wp14:editId="34B9BC7A">
            <wp:simplePos x="0" y="0"/>
            <wp:positionH relativeFrom="column">
              <wp:posOffset>187325</wp:posOffset>
            </wp:positionH>
            <wp:positionV relativeFrom="paragraph">
              <wp:posOffset>-5080</wp:posOffset>
            </wp:positionV>
            <wp:extent cx="6248400" cy="1000125"/>
            <wp:effectExtent l="0" t="0" r="0" b="9525"/>
            <wp:wrapNone/>
            <wp:docPr id="2" name="Imagem 2" descr="Gráfico, Gráfico de mapa de árvo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mapa de árvore&#10;&#10;Descrição gerad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5"/>
                    <a:stretch/>
                  </pic:blipFill>
                  <pic:spPr bwMode="auto">
                    <a:xfrm>
                      <a:off x="0" y="0"/>
                      <a:ext cx="624840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CEF79B" w14:textId="5897E3A2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FDC94E" w14:textId="1BB92CD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9208091" w14:textId="1CEAB7AE" w:rsidR="002949E6" w:rsidRDefault="000A287E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4730E9" wp14:editId="16DFD7C0">
            <wp:simplePos x="0" y="0"/>
            <wp:positionH relativeFrom="column">
              <wp:posOffset>168275</wp:posOffset>
            </wp:positionH>
            <wp:positionV relativeFrom="paragraph">
              <wp:posOffset>92075</wp:posOffset>
            </wp:positionV>
            <wp:extent cx="6276975" cy="5267325"/>
            <wp:effectExtent l="0" t="0" r="9525" b="9525"/>
            <wp:wrapNone/>
            <wp:docPr id="1" name="Imagem 1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abela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0FC3D" w14:textId="0F17BE43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E098786" w14:textId="1B0473B6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EA117F0" w14:textId="54495EE8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5204090" w14:textId="2CDD7BDB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15976DB" w14:textId="2F7396E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0317F49" w14:textId="3B6B10A0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5ECD130" w14:textId="01E8713F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921E4B9" w14:textId="664F6EA2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504F37" w14:textId="2DD1D383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7FBF228" w14:textId="66D36FE2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785C811" w14:textId="0276CD99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258FE5B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B22BC28" w14:textId="266703C5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E990EDE" w14:textId="472950FE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0DC274E" w14:textId="2367FC9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8DC87D7" w14:textId="6C4A71B2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F543F42" w14:textId="56F888B6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E0BC65C" w14:textId="13A825DD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C562CD" w14:textId="12E2403B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36C5931" w14:textId="475232BB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EA69D6A" w14:textId="61AC8D5A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8F1EBEF" w14:textId="0D71E551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3F5168D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6EFA2F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880CA8B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FE71EE0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0982BD3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8D61D2F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92A849E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F2E747E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437F079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1111E9C" w14:textId="5135CEFD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8D0198B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70BF49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A6752E5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8E4134E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C55156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drawing>
          <wp:inline distT="114300" distB="114300" distL="114300" distR="114300" wp14:anchorId="2B8C019B" wp14:editId="352665D6">
            <wp:extent cx="6697538" cy="5671881"/>
            <wp:effectExtent l="0" t="0" r="0" b="0"/>
            <wp:docPr id="3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7538" cy="5671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CDF3FC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15D6AC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4D97ECF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6E27FE0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A508273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A959F4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4ECE039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E62CAD7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F0C75AB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C0AF99C" w14:textId="77777777" w:rsidR="002949E6" w:rsidRDefault="002949E6">
      <w:pPr>
        <w:widowControl w:val="0"/>
        <w:spacing w:after="0"/>
        <w:ind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C16C35E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Em 2022, as ATPC deverão ser cumpridas na unidade escolar e poderão ser organizadas em momento de transmissão via CMSP ou em momento mais oportuno de forma assíncrona, conforme horário definido e cargas horárias dos docentes. Se possível, a escola deve privilegiar a organização dos horários para que os professores assistam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ATPCs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forma síncrona e com o maior número possível de colegas da mesma área de conhecimento.</w:t>
      </w:r>
    </w:p>
    <w:p w14:paraId="0051C3FF" w14:textId="60329E38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docente poderá cumprir as ATPC no mesmo turno das aulas que ministra ou, em turno diverso, desde </w:t>
      </w:r>
      <w:r w:rsidR="000A287E">
        <w:rPr>
          <w:rFonts w:ascii="Times New Roman" w:eastAsia="Times New Roman" w:hAnsi="Times New Roman" w:cs="Times New Roman"/>
          <w:sz w:val="24"/>
          <w:szCs w:val="24"/>
          <w:highlight w:val="white"/>
        </w:rPr>
        <w:t>que, conjunta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preferencialmente, com os docentes das turmas em que atua, durante o horário de funcionamento da unidade escolar.</w:t>
      </w:r>
    </w:p>
    <w:p w14:paraId="5BD8AEC1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docente que tenha aulas atribuídas em mais de um turno cumprirá, preferencialmente, a carga horária das ATPC, com o grupo de docentes do turno em que tem maior número de aulas atribuídas.</w:t>
      </w:r>
    </w:p>
    <w:p w14:paraId="22B506E5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Caso ministre aulas em mais de uma escola estadual, o docente cumprirá as ATPC na unidade escolar em que tenha maior quantidade de aulas atribuídas, cabendo ao Professor Coordenador da outra unidade atualizar o docente das atividades pedagógicas a serem desenvolvidas pelo grupo de professores.</w:t>
      </w:r>
    </w:p>
    <w:p w14:paraId="15D64CD2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Cabe ao Diretor de Escola organizar os horários de sua unidade escolar de forma a fazer cumprir o disposto na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Resolução SEDUC 133, de 29-11-2021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após consulta dos interesses e opções de horários dos docentes.</w:t>
      </w:r>
    </w:p>
    <w:p w14:paraId="594DCEA8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 aqueles professores com jornada reduzida de acordo com 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Resolução SEDUC 133, de 29-11-2021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a jornada de trabalho ou carga horária docente é constituída de aulas com estudantes, Aulas de Trabalho Pedagógico Coletivo – ATPC e Aulas de Trabalho Pedagógico em Local de Livre Escolha - ATPL, sendo assim o professor com Jornada Reduzida, desenvolverá 9 aulas com os estudantes, realizará 3 ATPC e cumprirá 4 ATPL.</w:t>
      </w:r>
    </w:p>
    <w:p w14:paraId="18FDEFFB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 ATPC deverão ser realizadas seguindo a indicação de prioridade no cumprimento, por exemplo na semana A o professor fará a formação de Tema local com pauta elaborada pela Unidade Escolar, seguida da transmissão de Recuperação e Aprofundamento por área ou componente e seu desdobramento.</w:t>
      </w:r>
    </w:p>
    <w:p w14:paraId="60EC27B4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ATPC do período noturno será da seguinte forma: os docentes que atuam no período noturno poderão realizar a quantidade total ou parcial de ATPC no mesmo período, caso haja viabilidade de horários no quadro de aulas, ou no contraturno, especialmente para assegurar a atribuição de maior número de aulas no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turno noturno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 considerando a necessidade pedagógica e a organização do horário de trabalho, o diretor poderá autorizar, aos docentes que atuam no período noturno e que assim desejarem, 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realização da ATPC na modalidade remota ou no sábado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desde que seja garantido o caráter coletivo da reunião formativa, com relação à ATPC geral e do aprofundamento curricular do Novo EM.</w:t>
      </w:r>
    </w:p>
    <w:p w14:paraId="5EBC1515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081A7A9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909E0DA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B03D8BF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D9EF126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5962FE0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DB75B98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E41D167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E0B2793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CF9ECFE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Nos Anos Finais e Ensino Médio, o Professor Coordenador não faz a mediação direta de todas as ATPC.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Porém, ele deve gerir de forma a garantir a participação dos professores tanto pelo acompanhamento das transmissões síncronas ou gravadas quanto ao desdobramento subsequente das transmissões, de forma que esteja garantido um tempo para gestão pedagógica e apoio individual para planejamento, observação de sala de aula e devolutiva formativa, dentre outras atividades.</w:t>
      </w:r>
    </w:p>
    <w:p w14:paraId="1B05CE20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48C17339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Assim, cabe ao Professor Coordenador:</w:t>
      </w:r>
    </w:p>
    <w:p w14:paraId="406E2421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5C6CD855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garantir a comunicação da agenda de ATPC para os professores;</w:t>
      </w:r>
    </w:p>
    <w:p w14:paraId="56B4269E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apoiar os docentes na definição e/ou priorização da formação que ele deverá acompanhar;</w:t>
      </w:r>
    </w:p>
    <w:p w14:paraId="583A7142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acompanhar os registros do desdobramento das pautas formativas; e</w:t>
      </w:r>
    </w:p>
    <w:p w14:paraId="5517E677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• refletir acerca dos aprendizados e a aplicação deles em sala de aula.</w:t>
      </w:r>
    </w:p>
    <w:p w14:paraId="10F135E1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0ACB9A1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Para os docentes que atuam nos Anos Finais do Ensino Fundamental e Ensino Médio, as formações transmitidas pela EFAPE foram organizadas por área do conhecimento (Terça-feira Ciências Humanas, Quarta-feira Linguagens e Quinta-feira Ciências da Natureza e Matemática). Enquanto, as ATPC de Unidades Curriculares foram distribuídas durante a semana, as quais serão transmitidas a partir de 07 de fevereiro de 2022. As escolas devem preferencialmente se organizar para acompanhá-las de forma síncrona, se possível. Se não, será possível visualizar pelo repositório Semana A, comum a todos os professores que atuam nos Anos Finais e Ensino Médio:</w:t>
      </w:r>
    </w:p>
    <w:p w14:paraId="4D5A1481" w14:textId="77777777" w:rsidR="002949E6" w:rsidRDefault="00E84787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lastRenderedPageBreak/>
        <w:drawing>
          <wp:inline distT="114300" distB="114300" distL="114300" distR="114300" wp14:anchorId="1D1D8402" wp14:editId="105DFC39">
            <wp:extent cx="6597155" cy="6526848"/>
            <wp:effectExtent l="0" t="0" r="0" b="0"/>
            <wp:docPr id="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155" cy="6526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D1697D" w14:textId="77777777" w:rsidR="002949E6" w:rsidRDefault="002949E6">
      <w:pPr>
        <w:widowControl w:val="0"/>
        <w:spacing w:after="0"/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3C8A4F8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36D9FA7" w14:textId="10ECAA55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24F2624" w14:textId="77777777" w:rsidR="000A287E" w:rsidRDefault="000A287E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F92902D" w14:textId="77777777" w:rsidR="002949E6" w:rsidRDefault="002949E6">
      <w:pPr>
        <w:ind w:left="283" w:righ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B1E543" w14:textId="77777777" w:rsidR="002949E6" w:rsidRDefault="00E84787">
      <w:pPr>
        <w:ind w:left="283" w:right="568"/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lastRenderedPageBreak/>
        <w:t>Reprises:</w:t>
      </w:r>
    </w:p>
    <w:p w14:paraId="67B53027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• Pautas de Recuperação e Aprofundamento: às 15h e 19h.</w:t>
      </w:r>
    </w:p>
    <w:p w14:paraId="2D0528E7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• Pautas de Currículo: às 18h e 20h30.</w:t>
      </w:r>
    </w:p>
    <w:p w14:paraId="39FEEC80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• Pautas de Temas Complementares: às 16h30 e 19h45 na terça-feira e às 11h30, 16h30 às 19h45 na quarta-feira e quinta-</w:t>
      </w:r>
      <w:proofErr w:type="gramStart"/>
      <w:r>
        <w:rPr>
          <w:rFonts w:ascii="Arial" w:eastAsia="Arial" w:hAnsi="Arial" w:cs="Arial"/>
          <w:highlight w:val="white"/>
        </w:rPr>
        <w:t>feira.•</w:t>
      </w:r>
      <w:proofErr w:type="gramEnd"/>
      <w:r>
        <w:rPr>
          <w:rFonts w:ascii="Arial" w:eastAsia="Arial" w:hAnsi="Arial" w:cs="Arial"/>
          <w:highlight w:val="white"/>
        </w:rPr>
        <w:t xml:space="preserve"> Pautas de Educação Especial: às 15h e 19h na terça-feira, às 08h30, 15h e 19h na quarta-feira, quinta-feira e sexta-feira. </w:t>
      </w:r>
    </w:p>
    <w:p w14:paraId="03C3C864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Semana B, destinada aos professores que atuam nos Anos Finais do Ensino Fundamental e Ensino Médio na formação geral básica.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0A1D2BB" wp14:editId="5B1DF000">
            <wp:simplePos x="0" y="0"/>
            <wp:positionH relativeFrom="column">
              <wp:posOffset>695325</wp:posOffset>
            </wp:positionH>
            <wp:positionV relativeFrom="paragraph">
              <wp:posOffset>485775</wp:posOffset>
            </wp:positionV>
            <wp:extent cx="6140768" cy="5695950"/>
            <wp:effectExtent l="0" t="0" r="0" b="0"/>
            <wp:wrapNone/>
            <wp:docPr id="3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768" cy="569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EB484C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45414647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7431F43F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3B7408A7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6D7CBA91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650E4CF3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70AB0547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6BF6706C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6843D458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0D363094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72F253DC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558824AB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62F396CD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35ED18C8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63DC701E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1AC62955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3F2C7413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276DE0B5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203FD926" w14:textId="77777777" w:rsidR="000A287E" w:rsidRDefault="000A287E">
      <w:pPr>
        <w:ind w:left="283" w:right="568"/>
        <w:jc w:val="both"/>
        <w:rPr>
          <w:rFonts w:ascii="Arial" w:eastAsia="Arial" w:hAnsi="Arial" w:cs="Arial"/>
          <w:b/>
          <w:highlight w:val="yellow"/>
          <w:u w:val="single"/>
        </w:rPr>
      </w:pPr>
    </w:p>
    <w:p w14:paraId="3D52577F" w14:textId="117713D0" w:rsidR="002949E6" w:rsidRDefault="00E84787">
      <w:pPr>
        <w:ind w:left="283" w:right="568"/>
        <w:jc w:val="both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lastRenderedPageBreak/>
        <w:t xml:space="preserve">Reprises: </w:t>
      </w:r>
    </w:p>
    <w:p w14:paraId="1AF37184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• Pautas de Recuperação e Aprofundamento: às 15h e 19h. </w:t>
      </w:r>
    </w:p>
    <w:p w14:paraId="08568848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• Pautas de Currículo: às 16h30 e 19h45. </w:t>
      </w:r>
    </w:p>
    <w:p w14:paraId="7AB6F5E3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• Pautas de Temas Complementares: às 18h e 20h30. </w:t>
      </w:r>
    </w:p>
    <w:p w14:paraId="58040D75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Semana B, para os professores que desenvolvem atividades nos Aprofundamentos Curriculares</w:t>
      </w:r>
    </w:p>
    <w:p w14:paraId="2E85356B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 wp14:anchorId="268D2651" wp14:editId="1003A91A">
            <wp:extent cx="6902569" cy="5131752"/>
            <wp:effectExtent l="0" t="0" r="0" b="0"/>
            <wp:docPr id="3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2569" cy="5131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5F23A3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27E6EEEC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61688AE1" w14:textId="77777777" w:rsidR="002949E6" w:rsidRDefault="002949E6">
      <w:pPr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08B5E6D9" w14:textId="77777777" w:rsidR="000A287E" w:rsidRDefault="000A287E">
      <w:pPr>
        <w:ind w:left="283" w:right="568"/>
        <w:jc w:val="both"/>
        <w:rPr>
          <w:rFonts w:ascii="Arial" w:eastAsia="Arial" w:hAnsi="Arial" w:cs="Arial"/>
          <w:b/>
          <w:highlight w:val="yellow"/>
          <w:u w:val="single"/>
        </w:rPr>
      </w:pPr>
    </w:p>
    <w:p w14:paraId="02A4CDF5" w14:textId="4C7A3E53" w:rsidR="002949E6" w:rsidRDefault="00E84787">
      <w:pPr>
        <w:ind w:left="283" w:right="568"/>
        <w:jc w:val="both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lastRenderedPageBreak/>
        <w:t xml:space="preserve">Reprises: </w:t>
      </w:r>
    </w:p>
    <w:p w14:paraId="077DD8EB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• Pautas de recuperação e aprofundamento: às 15h e 19h.</w:t>
      </w:r>
    </w:p>
    <w:p w14:paraId="01F76999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 • Pautas de currículo: às 16h30 e 19h45. </w:t>
      </w:r>
    </w:p>
    <w:p w14:paraId="0B9ABBDD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• Pautas de temas complementares: às 18h e 20h30.</w:t>
      </w:r>
    </w:p>
    <w:p w14:paraId="4A25B4BA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 • Pautas de Aprofundamentos Curriculares exibidas das 10h às 10h45: reprise às 16h30 e 18h. </w:t>
      </w:r>
    </w:p>
    <w:p w14:paraId="23932A48" w14:textId="77777777" w:rsidR="002949E6" w:rsidRDefault="00E84787">
      <w:pPr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• Pautas Aprofundamentos Curriculares exibidas das 11h30 às 12h15: reprise às 18h e 20h30.</w:t>
      </w:r>
    </w:p>
    <w:p w14:paraId="5FC9C89F" w14:textId="77777777" w:rsidR="002949E6" w:rsidRDefault="00E84787">
      <w:pPr>
        <w:spacing w:after="0"/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Conforme já orientado, os professores poderão acompanhar as transmissões de forma síncrona ou acessar de forma assíncrona em outros momentos, utilizando o repositório do CMSP, sempre respeitando a jornada de trabalho docente. Para melhor aproveitamento dos conteúdos síncronos, sugerimos que os professores que atuam na mesma área ou componente curricular se articulem para realizar as formações juntos favorecendo a troca entre os pares. </w:t>
      </w:r>
    </w:p>
    <w:p w14:paraId="5B226C01" w14:textId="77777777" w:rsidR="002949E6" w:rsidRDefault="00E84787">
      <w:pPr>
        <w:spacing w:after="0"/>
        <w:ind w:left="283" w:right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Para esclarecer possíveis dúvidas sobre as ATPC 2022, vocês poderão consultar o </w:t>
      </w:r>
      <w:hyperlink r:id="rId16" w:anchor="gid=74496450">
        <w:r>
          <w:rPr>
            <w:rFonts w:ascii="Arial" w:eastAsia="Arial" w:hAnsi="Arial" w:cs="Arial"/>
            <w:color w:val="1155CC"/>
            <w:highlight w:val="white"/>
            <w:u w:val="single"/>
          </w:rPr>
          <w:t>link</w:t>
        </w:r>
      </w:hyperlink>
      <w:r>
        <w:rPr>
          <w:rFonts w:ascii="Arial" w:eastAsia="Arial" w:hAnsi="Arial" w:cs="Arial"/>
          <w:highlight w:val="white"/>
        </w:rPr>
        <w:t xml:space="preserve"> com detalhadamente todo o cronograma das ATPC previstas para o 1º Bimestre (fevereiro, março e abril), e,. em breve, disponibilizaremos a programação completa do CMSP destinada aos professores e aos demais profissionais da Educação no</w:t>
      </w:r>
      <w:hyperlink r:id="rId17">
        <w:r>
          <w:rPr>
            <w:rFonts w:ascii="Arial" w:eastAsia="Arial" w:hAnsi="Arial" w:cs="Arial"/>
            <w:color w:val="1155CC"/>
            <w:highlight w:val="white"/>
            <w:u w:val="single"/>
          </w:rPr>
          <w:t xml:space="preserve"> link</w:t>
        </w:r>
      </w:hyperlink>
      <w:r>
        <w:rPr>
          <w:rFonts w:ascii="Arial" w:eastAsia="Arial" w:hAnsi="Arial" w:cs="Arial"/>
          <w:highlight w:val="white"/>
        </w:rPr>
        <w:t>.</w:t>
      </w:r>
    </w:p>
    <w:p w14:paraId="52963FF3" w14:textId="77777777" w:rsidR="002949E6" w:rsidRDefault="002949E6">
      <w:pPr>
        <w:spacing w:after="0"/>
        <w:ind w:left="283" w:right="568"/>
        <w:jc w:val="both"/>
        <w:rPr>
          <w:rFonts w:ascii="Arial" w:eastAsia="Arial" w:hAnsi="Arial" w:cs="Arial"/>
          <w:highlight w:val="white"/>
        </w:rPr>
      </w:pPr>
    </w:p>
    <w:p w14:paraId="10C8E43D" w14:textId="77777777" w:rsidR="002949E6" w:rsidRDefault="002949E6">
      <w:pPr>
        <w:shd w:val="clear" w:color="auto" w:fill="FFFFFF"/>
        <w:spacing w:after="0"/>
        <w:ind w:left="283" w:right="568"/>
        <w:rPr>
          <w:rFonts w:ascii="Times New Roman" w:eastAsia="Times New Roman" w:hAnsi="Times New Roman" w:cs="Times New Roman"/>
          <w:sz w:val="24"/>
          <w:szCs w:val="24"/>
        </w:rPr>
      </w:pPr>
    </w:p>
    <w:p w14:paraId="05E8B2C2" w14:textId="77777777" w:rsidR="002949E6" w:rsidRDefault="002949E6">
      <w:pPr>
        <w:shd w:val="clear" w:color="auto" w:fill="FFFFFF"/>
        <w:spacing w:after="0"/>
        <w:ind w:left="283" w:right="568"/>
        <w:rPr>
          <w:rFonts w:ascii="Times New Roman" w:eastAsia="Times New Roman" w:hAnsi="Times New Roman" w:cs="Times New Roman"/>
          <w:sz w:val="24"/>
          <w:szCs w:val="24"/>
        </w:rPr>
      </w:pPr>
    </w:p>
    <w:p w14:paraId="4B1E719A" w14:textId="77777777" w:rsidR="002949E6" w:rsidRDefault="002949E6">
      <w:pPr>
        <w:shd w:val="clear" w:color="auto" w:fill="FFFFFF"/>
        <w:spacing w:after="0"/>
        <w:ind w:left="283" w:right="568"/>
        <w:rPr>
          <w:rFonts w:ascii="Times New Roman" w:eastAsia="Times New Roman" w:hAnsi="Times New Roman" w:cs="Times New Roman"/>
          <w:sz w:val="24"/>
          <w:szCs w:val="24"/>
        </w:rPr>
      </w:pPr>
    </w:p>
    <w:p w14:paraId="69F8F277" w14:textId="77777777" w:rsidR="002949E6" w:rsidRDefault="002949E6">
      <w:pPr>
        <w:shd w:val="clear" w:color="auto" w:fill="FFFFFF"/>
        <w:spacing w:after="0"/>
        <w:ind w:left="283" w:right="568"/>
        <w:rPr>
          <w:rFonts w:ascii="Times New Roman" w:eastAsia="Times New Roman" w:hAnsi="Times New Roman" w:cs="Times New Roman"/>
          <w:sz w:val="24"/>
          <w:szCs w:val="24"/>
        </w:rPr>
      </w:pPr>
    </w:p>
    <w:p w14:paraId="0E7AB10D" w14:textId="77777777" w:rsidR="002949E6" w:rsidRDefault="002949E6">
      <w:pPr>
        <w:shd w:val="clear" w:color="auto" w:fill="FFFFFF"/>
        <w:spacing w:after="0"/>
        <w:ind w:left="283" w:right="568"/>
        <w:rPr>
          <w:rFonts w:ascii="Times New Roman" w:eastAsia="Times New Roman" w:hAnsi="Times New Roman" w:cs="Times New Roman"/>
          <w:sz w:val="24"/>
          <w:szCs w:val="24"/>
        </w:rPr>
      </w:pPr>
    </w:p>
    <w:p w14:paraId="13E6EFD4" w14:textId="77777777" w:rsidR="002949E6" w:rsidRDefault="002949E6">
      <w:pPr>
        <w:shd w:val="clear" w:color="auto" w:fill="FFFFFF"/>
        <w:spacing w:after="0"/>
        <w:ind w:left="283" w:right="568"/>
        <w:rPr>
          <w:rFonts w:ascii="Times New Roman" w:eastAsia="Times New Roman" w:hAnsi="Times New Roman" w:cs="Times New Roman"/>
          <w:sz w:val="24"/>
          <w:szCs w:val="24"/>
        </w:rPr>
      </w:pPr>
    </w:p>
    <w:p w14:paraId="317DE651" w14:textId="77777777" w:rsidR="002949E6" w:rsidRDefault="002949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49E6">
      <w:headerReference w:type="default" r:id="rId18"/>
      <w:footerReference w:type="default" r:id="rId19"/>
      <w:pgSz w:w="11906" w:h="16838"/>
      <w:pgMar w:top="1440" w:right="149" w:bottom="737" w:left="42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862B" w14:textId="77777777" w:rsidR="00C04D0B" w:rsidRDefault="00C04D0B">
      <w:pPr>
        <w:spacing w:after="0" w:line="240" w:lineRule="auto"/>
      </w:pPr>
      <w:r>
        <w:separator/>
      </w:r>
    </w:p>
  </w:endnote>
  <w:endnote w:type="continuationSeparator" w:id="0">
    <w:p w14:paraId="7C63A7E0" w14:textId="77777777" w:rsidR="00C04D0B" w:rsidRDefault="00C0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A543" w14:textId="77777777" w:rsidR="002949E6" w:rsidRDefault="00E847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Rua Geraldo Moran, 271 – Jd. Umuarama – Osasco – SP – CEP: 06030-060</w:t>
    </w:r>
  </w:p>
  <w:p w14:paraId="2D4AA826" w14:textId="77777777" w:rsidR="002949E6" w:rsidRDefault="00E847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TEL: 2284 8100 – E-MAIL: deosc@educacao.sp.gov.br</w:t>
    </w:r>
  </w:p>
  <w:p w14:paraId="2421851C" w14:textId="77777777" w:rsidR="002949E6" w:rsidRDefault="002949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EF97" w14:textId="77777777" w:rsidR="00C04D0B" w:rsidRDefault="00C04D0B">
      <w:pPr>
        <w:spacing w:after="0" w:line="240" w:lineRule="auto"/>
      </w:pPr>
      <w:r>
        <w:separator/>
      </w:r>
    </w:p>
  </w:footnote>
  <w:footnote w:type="continuationSeparator" w:id="0">
    <w:p w14:paraId="018A1B39" w14:textId="77777777" w:rsidR="00C04D0B" w:rsidRDefault="00C0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C3F" w14:textId="77777777" w:rsidR="002949E6" w:rsidRDefault="002949E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e"/>
      <w:tblW w:w="9942" w:type="dxa"/>
      <w:tblInd w:w="0" w:type="dxa"/>
      <w:tblLayout w:type="fixed"/>
      <w:tblLook w:val="0000" w:firstRow="0" w:lastRow="0" w:firstColumn="0" w:lastColumn="0" w:noHBand="0" w:noVBand="0"/>
    </w:tblPr>
    <w:tblGrid>
      <w:gridCol w:w="1473"/>
      <w:gridCol w:w="6812"/>
      <w:gridCol w:w="1657"/>
    </w:tblGrid>
    <w:tr w:rsidR="002949E6" w14:paraId="1C48F316" w14:textId="77777777">
      <w:trPr>
        <w:trHeight w:val="90"/>
      </w:trPr>
      <w:tc>
        <w:tcPr>
          <w:tcW w:w="1473" w:type="dxa"/>
          <w:vAlign w:val="center"/>
        </w:tcPr>
        <w:p w14:paraId="4C1C57ED" w14:textId="77777777" w:rsidR="002949E6" w:rsidRDefault="00E84787">
          <w:pPr>
            <w:jc w:val="center"/>
            <w:rPr>
              <w:color w:val="808080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808080"/>
              <w:sz w:val="20"/>
              <w:szCs w:val="20"/>
            </w:rPr>
            <w:drawing>
              <wp:inline distT="0" distB="0" distL="0" distR="0" wp14:anchorId="33583E7D" wp14:editId="5B6205D1">
                <wp:extent cx="551342" cy="546506"/>
                <wp:effectExtent l="0" t="0" r="0" b="0"/>
                <wp:docPr id="35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342" cy="5465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2" w:type="dxa"/>
        </w:tcPr>
        <w:p w14:paraId="7665ED2C" w14:textId="77777777" w:rsidR="002949E6" w:rsidRDefault="00E8478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40"/>
              <w:tab w:val="center" w:pos="338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GOVERNO DO ESTADO DE SÃO PAULO</w:t>
          </w:r>
        </w:p>
        <w:p w14:paraId="3F48952A" w14:textId="77777777" w:rsidR="002949E6" w:rsidRDefault="00E8478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40"/>
              <w:tab w:val="center" w:pos="338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SECRETARIA DE ESTADO DA EDUCAÇÃO</w:t>
          </w:r>
        </w:p>
        <w:p w14:paraId="5E8F408D" w14:textId="77777777" w:rsidR="002949E6" w:rsidRDefault="00E84787">
          <w:pPr>
            <w:spacing w:after="0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DIRETORIA DE ENSINO REGIÃO OSASCO</w:t>
          </w:r>
        </w:p>
        <w:p w14:paraId="38AC4853" w14:textId="77777777" w:rsidR="002949E6" w:rsidRDefault="00E84787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</w:rPr>
            <w:t>NÚCLEO PEDAGÓGICO</w:t>
          </w:r>
        </w:p>
      </w:tc>
      <w:tc>
        <w:tcPr>
          <w:tcW w:w="1657" w:type="dxa"/>
          <w:vAlign w:val="center"/>
        </w:tcPr>
        <w:p w14:paraId="445F6F98" w14:textId="77777777" w:rsidR="002949E6" w:rsidRDefault="002949E6">
          <w:pPr>
            <w:rPr>
              <w:b/>
              <w:color w:val="808080"/>
              <w:sz w:val="18"/>
              <w:szCs w:val="18"/>
            </w:rPr>
          </w:pPr>
        </w:p>
      </w:tc>
    </w:tr>
  </w:tbl>
  <w:p w14:paraId="35A256CE" w14:textId="77777777" w:rsidR="002949E6" w:rsidRDefault="002949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0750"/>
    <w:multiLevelType w:val="multilevel"/>
    <w:tmpl w:val="9522B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E6"/>
    <w:rsid w:val="000A287E"/>
    <w:rsid w:val="002949E6"/>
    <w:rsid w:val="009159B2"/>
    <w:rsid w:val="00C04D0B"/>
    <w:rsid w:val="00E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E564"/>
  <w15:docId w15:val="{6DB9DCD7-1D1F-42A7-895C-4C48902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10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1E1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Calibri" w:hAnsi="Times New Roman" w:cs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1E10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9F1E10"/>
    <w:rPr>
      <w:rFonts w:ascii="Times New Roman" w:eastAsia="Calibri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1E10"/>
    <w:rPr>
      <w:rFonts w:ascii="Times New Roman" w:eastAsia="Calibri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F1E1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1E10"/>
  </w:style>
  <w:style w:type="paragraph" w:customStyle="1" w:styleId="Default">
    <w:name w:val="Default"/>
    <w:rsid w:val="009F1E10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F1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E1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E10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F1E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756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758B2"/>
  </w:style>
  <w:style w:type="character" w:styleId="MenoPendente">
    <w:name w:val="Unresolved Mention"/>
    <w:basedOn w:val="Fontepargpadro"/>
    <w:uiPriority w:val="99"/>
    <w:semiHidden/>
    <w:unhideWhenUsed/>
    <w:rsid w:val="0095476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279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3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centrodemidiasp.educacao.sp.gov.br/programacao-profissionais-da-educaca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dtJUhDom1hOOlyLKh5kshsqZiT3kQUA0/ed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MohHVzeYtMTBnl6uAPUhMkTCQ==">AMUW2mX6Hlwri5A1Ez2eO0Eui2Ut6yh3fuZxaf+PwZz1LofveLZxvZtw1XHQM0BHLQ+sOkd13QJpSimhisPifDCPFA2ollimJqrz2yocHZaQt//2hS8vUto=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1121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RANIERI RODRIGUES VIANA</cp:lastModifiedBy>
  <cp:revision>2</cp:revision>
  <dcterms:created xsi:type="dcterms:W3CDTF">2022-02-21T13:11:00Z</dcterms:created>
  <dcterms:modified xsi:type="dcterms:W3CDTF">2022-02-21T13:11:00Z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0x010100BD813F5524BF7245916280FBA2E886E2</vt:lpwstr>
  </property>
</Properties>
</file>