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E" w:rsidRPr="000B3E2E" w:rsidRDefault="000B3E2E" w:rsidP="000B3E2E">
      <w:pPr>
        <w:spacing w:after="375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PORTARIA CGRH 15, DE 30/11/2020</w:t>
      </w:r>
    </w:p>
    <w:p w:rsidR="000B3E2E" w:rsidRPr="000B3E2E" w:rsidRDefault="000B3E2E" w:rsidP="000B3E2E">
      <w:pPr>
        <w:spacing w:after="375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O Coordenador da Coordenadoria de Gestão de Recursos Humanos – CGRH, considerando a necessidade de proceder adequações quanto aos prazos e procedimentos do processo de atribuição de classes e aulas para o ano letivo de 2021, de que trata que o disposto na Resolução SE 72, de 13-10-2020, expede a presente Portaria.</w:t>
      </w:r>
    </w:p>
    <w:p w:rsidR="000B3E2E" w:rsidRPr="000B3E2E" w:rsidRDefault="000B3E2E" w:rsidP="000B3E2E">
      <w:pPr>
        <w:spacing w:after="0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b/>
          <w:bCs/>
          <w:color w:val="2C2F34"/>
          <w:sz w:val="24"/>
          <w:szCs w:val="24"/>
          <w:bdr w:val="none" w:sz="0" w:space="0" w:color="auto" w:frame="1"/>
          <w:lang w:eastAsia="pt-BR"/>
        </w:rPr>
        <w:t>Artigo 1º –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 O artigo 3º da Portaria CGRH-09, de 13-11-2020, passa a vigorar com</w:t>
      </w:r>
      <w:r>
        <w:rPr>
          <w:rFonts w:ascii="Arial" w:eastAsia="Times New Roman" w:hAnsi="Arial" w:cs="Arial"/>
          <w:color w:val="2C2F34"/>
          <w:sz w:val="24"/>
          <w:szCs w:val="24"/>
          <w:lang w:eastAsia="pt-BR"/>
        </w:rPr>
        <w:t xml:space="preserve"> 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 seguinte redação: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br/>
      </w:r>
      <w:proofErr w:type="gramStart"/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“</w:t>
      </w:r>
      <w:proofErr w:type="gramEnd"/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Artigo 3º – No Processo Inicial – ETAPAS I e II, a atribuição de classes e aulas aos docentes inscritos e classificados obedecerá ao seguinte cronograma: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I – 04-12-2020 – Unidade Escolar – Atribuição manual aos titulares de cargo, para: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a) Constituição de Jornada;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b) Composição de Jornada;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c) Ampliação de jornada;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d) Carga suplementar;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II – 04-12-2020 – o Diretor de Escola deverá informar para a Comissão de Atribuição os docentes que foram parcialmente atendidos ou que ficaram adidos no dia;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III – 04 a 07-12-2020 – A escola deverá informar a situação dos docentes adidos em funcionalidade no sistema SED, para o prosseguimento das demais fases de atribuição;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IV – 07 a 08-12-2020 – Unidade Escolar – para associação das classes e aulas atribuídas aos docentes titulares de cargo para fins de envio e conferência do saldo restante na plataforma Secretaria Escolar Digital – SED;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V – 09-12-2020 (manhã) – Diretoria de Ensino – atribuição manual aos titulares de cargo para: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a) constituição de Jornada de Trabalho a docentes adidos ou parcialmente atendidos na unidade escolar, por ordem de classificação;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b) composição de Jornada de Trabalho a docentes adidos ou parcialmente atendidos na constituição da jornada, por ordem de classificação;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lastRenderedPageBreak/>
        <w:t>VI – 09-12-2020 (tarde) – Associação pelas unidades escolares da atribuição ocorrida no período da manhã na Diretoria de Ensino;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VII – 10-12-2020 – manifestação de interesse nas classes e aulas existentes na plataforma Secretaria Escolar Digital – SED aos docentes titulares de cargo, para carga suplementar de trabalho;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VIII – 11-12-2020 – Diretoria de Ensino – atribuição na SED aos titulares de cargo, para fins de carga suplementar de trabalho;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IX – 14-12-2020 e 15-12-2020 (manhã) – Diretoria de Ensino – Associação da atribuição pelas unidades escolares e conferência do saldo;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 – 15-12-2020 (tarde) – Diretoria de Ensino – Atribuição de forma manual para afastamento de titulares de cargo, nos termos do artigo 22 da Lei Complementar 444/1985;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XI – 16-12-2020 – Lançamento da atribuição de classes e aulas do inciso X deste artigo, na plataforma Secretaria Escolar Digital – SED e conferência de saldo;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XII – 17-12-2020 – Unidade Escolar – Atribuição manual de classes e aulas para composição da carga horária aos docentes ocupantes de função-atividade, na seguinte conformidade: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a) declarados estáveis nos termos da Constituição Federal de 1988;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b) celetistas;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c) ocupantes de função-atividade;</w:t>
      </w:r>
    </w:p>
    <w:p w:rsidR="000B3E2E" w:rsidRPr="000B3E2E" w:rsidRDefault="000B3E2E" w:rsidP="000B3E2E">
      <w:pPr>
        <w:numPr>
          <w:ilvl w:val="0"/>
          <w:numId w:val="1"/>
        </w:numPr>
        <w:spacing w:after="75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XIII – 18-12-2020 e 21-12-2020 – Unidade Escolar – para associação das classes e aulas dos docentes ocupantes de função-atividade atribuídas para fins de envio e conferência do saldo restante na plataforma Secretaria Escolar Digital – SED;</w:t>
      </w:r>
    </w:p>
    <w:p w:rsidR="000B3E2E" w:rsidRDefault="000B3E2E" w:rsidP="000B3E2E">
      <w:pPr>
        <w:numPr>
          <w:ilvl w:val="0"/>
          <w:numId w:val="1"/>
        </w:numPr>
        <w:spacing w:after="0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XIV – 22-12-2020 (tarde) – manifestação de interesse nas classes e aulas existentes da atribuição online na plataforma Secretaria Escolar Digital – SED, aos docentes ocupantes de função-atividade;</w:t>
      </w:r>
    </w:p>
    <w:p w:rsidR="000B3E2E" w:rsidRPr="000B3E2E" w:rsidRDefault="000B3E2E" w:rsidP="000B3E2E">
      <w:pPr>
        <w:numPr>
          <w:ilvl w:val="0"/>
          <w:numId w:val="1"/>
        </w:numPr>
        <w:spacing w:after="0" w:line="390" w:lineRule="atLeast"/>
        <w:ind w:left="300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XV – 23-12-2020 – Diretoria de Ensino – Atribuição de classes e aulas na plataforma Secretaria Escolar Digital – SED aos docentes não efetivos, para composição de carga horária, na seguinte conformidade: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a) declarados estáveis nos termos da Constituição Federal</w:t>
      </w:r>
      <w:r>
        <w:rPr>
          <w:rFonts w:ascii="Arial" w:eastAsia="Times New Roman" w:hAnsi="Arial" w:cs="Arial"/>
          <w:color w:val="2C2F34"/>
          <w:sz w:val="24"/>
          <w:szCs w:val="24"/>
          <w:lang w:eastAsia="pt-BR"/>
        </w:rPr>
        <w:t xml:space="preserve"> 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de 1988;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b) celetistas;</w:t>
      </w:r>
    </w:p>
    <w:p w:rsidR="000B3E2E" w:rsidRPr="000B3E2E" w:rsidRDefault="000B3E2E" w:rsidP="000B3E2E">
      <w:pPr>
        <w:numPr>
          <w:ilvl w:val="1"/>
          <w:numId w:val="1"/>
        </w:numPr>
        <w:spacing w:after="75" w:line="390" w:lineRule="atLeast"/>
        <w:ind w:left="525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lastRenderedPageBreak/>
        <w:t>c) ocupantes de função-atividade;</w:t>
      </w:r>
    </w:p>
    <w:p w:rsidR="000B3E2E" w:rsidRDefault="000B3E2E" w:rsidP="000B3E2E">
      <w:pPr>
        <w:spacing w:after="375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Parágrafo único – Após a atribuição em nível de Diretoria de Ensino, a que se refere o inciso V deste artigo, a nova escola deverá realizar a associação dos docentes na fase 1.1 de constituição de jornada, e a Diretoria de Ensino deverá inserir a condição de adido somente no ano de 2021, conforme orientações a serem encaminhadas oportunamente.” (NR)</w:t>
      </w:r>
    </w:p>
    <w:p w:rsidR="000B3E2E" w:rsidRPr="000B3E2E" w:rsidRDefault="000B3E2E" w:rsidP="000B3E2E">
      <w:pPr>
        <w:spacing w:after="375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b/>
          <w:bCs/>
          <w:color w:val="2C2F34"/>
          <w:sz w:val="24"/>
          <w:szCs w:val="24"/>
          <w:bdr w:val="none" w:sz="0" w:space="0" w:color="auto" w:frame="1"/>
          <w:lang w:eastAsia="pt-BR"/>
        </w:rPr>
        <w:t>Artigo 2º –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 A Comissão Regional de atribuição de classes e aulas deverá realizar a recondução do docente que atua como Professor Auxiliar no dia 03-12-2020, mesma data dos programas e projetos da Pasta, desde que ainda esteja válida a decisão judicial para atendimento ao estudante.</w:t>
      </w:r>
    </w:p>
    <w:p w:rsidR="000B3E2E" w:rsidRDefault="000B3E2E" w:rsidP="000B3E2E">
      <w:pPr>
        <w:spacing w:after="0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b/>
          <w:bCs/>
          <w:color w:val="2C2F34"/>
          <w:sz w:val="24"/>
          <w:szCs w:val="24"/>
          <w:bdr w:val="none" w:sz="0" w:space="0" w:color="auto" w:frame="1"/>
          <w:lang w:eastAsia="pt-BR"/>
        </w:rPr>
        <w:t>Artigo 3º –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 O docente que porventura venha a se afastar ou ser designado para exercer outra atividade até o dia 25-01-2021, poderá ser dispensado de participar do Processo Inicial de Atribuição de Classes e Aulas, desde que haja absoluta certeza de seu afastamento ou designação.</w:t>
      </w:r>
    </w:p>
    <w:p w:rsidR="000B3E2E" w:rsidRPr="000B3E2E" w:rsidRDefault="000B3E2E" w:rsidP="000B3E2E">
      <w:pPr>
        <w:spacing w:after="0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</w:p>
    <w:p w:rsidR="000B3E2E" w:rsidRPr="000B3E2E" w:rsidRDefault="000B3E2E" w:rsidP="000B3E2E">
      <w:pPr>
        <w:spacing w:after="0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b/>
          <w:bCs/>
          <w:color w:val="2C2F34"/>
          <w:sz w:val="24"/>
          <w:szCs w:val="24"/>
          <w:bdr w:val="none" w:sz="0" w:space="0" w:color="auto" w:frame="1"/>
          <w:lang w:eastAsia="pt-BR"/>
        </w:rPr>
        <w:t>Artigo 4º –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 As unidades escolares e suas respectivas Diretorias de Ensino terão acesso a prévia do resultado da remoção do Suporte Pedagógico no dia 03-12-2020, sendo assim somente participarão do processo inicial de atribuição de classes e aulas os docentes que tiverem designados em unidades em que os titulares de cargo de Diretor de Escola ou Supervisor de Ensino foram, de fato, atendidos no processo de remoção.</w:t>
      </w:r>
    </w:p>
    <w:p w:rsidR="000B3E2E" w:rsidRPr="000B3E2E" w:rsidRDefault="000B3E2E" w:rsidP="000B3E2E">
      <w:pPr>
        <w:spacing w:after="375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>Parágrafo único – O resultado da remoção de Suporte Pedagógico será disponibilizado em 09-12-2020 para consulta ao Diretor de Escola ou ao Supervisor de Ensino.</w:t>
      </w:r>
    </w:p>
    <w:p w:rsidR="000B3E2E" w:rsidRPr="000B3E2E" w:rsidRDefault="000B3E2E" w:rsidP="000B3E2E">
      <w:pPr>
        <w:spacing w:after="0" w:line="390" w:lineRule="atLeast"/>
        <w:jc w:val="both"/>
        <w:rPr>
          <w:rFonts w:ascii="Arial" w:eastAsia="Times New Roman" w:hAnsi="Arial" w:cs="Arial"/>
          <w:color w:val="2C2F34"/>
          <w:sz w:val="24"/>
          <w:szCs w:val="24"/>
          <w:lang w:eastAsia="pt-BR"/>
        </w:rPr>
      </w:pPr>
      <w:r w:rsidRPr="000B3E2E">
        <w:rPr>
          <w:rFonts w:ascii="Arial" w:eastAsia="Times New Roman" w:hAnsi="Arial" w:cs="Arial"/>
          <w:b/>
          <w:color w:val="2C2F34"/>
          <w:sz w:val="24"/>
          <w:szCs w:val="24"/>
          <w:lang w:eastAsia="pt-BR"/>
        </w:rPr>
        <w:t>Artigo 5º</w:t>
      </w:r>
      <w:r w:rsidRPr="000B3E2E">
        <w:rPr>
          <w:rFonts w:ascii="Arial" w:eastAsia="Times New Roman" w:hAnsi="Arial" w:cs="Arial"/>
          <w:color w:val="2C2F34"/>
          <w:sz w:val="24"/>
          <w:szCs w:val="24"/>
          <w:lang w:eastAsia="pt-BR"/>
        </w:rPr>
        <w:t xml:space="preserve"> – Esta Portaria entra em vigor na data de sua publicação.</w:t>
      </w:r>
    </w:p>
    <w:p w:rsidR="00CC4D3F" w:rsidRPr="000B3E2E" w:rsidRDefault="00CC4D3F" w:rsidP="000B3E2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4D3F" w:rsidRPr="000B3E2E" w:rsidSect="00B4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0F42"/>
    <w:multiLevelType w:val="multilevel"/>
    <w:tmpl w:val="FC5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E2E"/>
    <w:rsid w:val="000B3E2E"/>
    <w:rsid w:val="00B34316"/>
    <w:rsid w:val="00B44F7B"/>
    <w:rsid w:val="00C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3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dcterms:created xsi:type="dcterms:W3CDTF">2020-12-01T16:39:00Z</dcterms:created>
  <dcterms:modified xsi:type="dcterms:W3CDTF">2020-12-01T16:39:00Z</dcterms:modified>
</cp:coreProperties>
</file>