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986" w:rsidRPr="00432E8B" w:rsidRDefault="00432E8B">
      <w:pPr>
        <w:rPr>
          <w:rFonts w:ascii="Arial" w:hAnsi="Arial" w:cs="Arial"/>
        </w:rPr>
      </w:pPr>
      <w:bookmarkStart w:id="0" w:name="_GoBack"/>
      <w:bookmarkEnd w:id="0"/>
      <w:r w:rsidRPr="00432E8B">
        <w:rPr>
          <w:rFonts w:ascii="Arial" w:hAnsi="Arial" w:cs="Arial"/>
        </w:rPr>
        <w:t>Volume 129 • Número 143 • São Paulo, quinta-feira, 1º de agosto de 2019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32E8B">
        <w:rPr>
          <w:rFonts w:ascii="Arial" w:hAnsi="Arial" w:cs="Arial"/>
          <w:b/>
          <w:bCs/>
          <w:color w:val="000000"/>
        </w:rPr>
        <w:t>Decretos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8898B"/>
        </w:rPr>
      </w:pPr>
      <w:r w:rsidRPr="00432E8B">
        <w:rPr>
          <w:rFonts w:ascii="Arial" w:hAnsi="Arial" w:cs="Arial"/>
          <w:b/>
          <w:bCs/>
          <w:color w:val="88898B"/>
        </w:rPr>
        <w:t>DECRETO Nº 64.355,</w:t>
      </w:r>
      <w:r>
        <w:rPr>
          <w:rFonts w:ascii="Arial" w:hAnsi="Arial" w:cs="Arial"/>
          <w:b/>
          <w:bCs/>
          <w:color w:val="88898B"/>
        </w:rPr>
        <w:t xml:space="preserve"> </w:t>
      </w:r>
      <w:r w:rsidRPr="00432E8B">
        <w:rPr>
          <w:rFonts w:ascii="Arial" w:hAnsi="Arial" w:cs="Arial"/>
          <w:b/>
          <w:bCs/>
          <w:color w:val="88898B"/>
        </w:rPr>
        <w:t>DE 31 DE JULHO DE 2019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32E8B">
        <w:rPr>
          <w:rFonts w:ascii="Arial" w:hAnsi="Arial" w:cs="Arial"/>
          <w:i/>
          <w:iCs/>
          <w:color w:val="000000"/>
        </w:rPr>
        <w:t>Institui o Programa SP Sem Papel, seu Comitê de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32E8B">
        <w:rPr>
          <w:rFonts w:ascii="Arial" w:hAnsi="Arial" w:cs="Arial"/>
          <w:i/>
          <w:iCs/>
          <w:color w:val="000000"/>
        </w:rPr>
        <w:t>Governança Digital e dá providências correlatas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JOÃO DORIA, Governador do Estado de São Paulo, no uso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 suas atribuições legais,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Considerando a necessidade de racionalização e otimização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dos recursos públicos disponíveis, para maior eficiência na execução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 políticas públicas, programas e ações de governo, com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 qualificação do gasto público;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Considerando a necessidade de tornar mais eficiente a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gestão documental, assegurada a integridade, disponibilidade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e autenticidade e, quando for o caso, o sigilo de documentos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informações digitais; e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Considerando a necessidade de substituir gradativamente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 produção e tramitação de documentos para formato exclusivamente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digital,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b/>
          <w:bCs/>
          <w:color w:val="000000"/>
        </w:rPr>
        <w:t>Decreta</w:t>
      </w:r>
      <w:r w:rsidRPr="00432E8B">
        <w:rPr>
          <w:rFonts w:ascii="Arial" w:hAnsi="Arial" w:cs="Arial"/>
          <w:color w:val="000000"/>
        </w:rPr>
        <w:t>: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Artigo 1º – Fica instituído, no âmbito da Administração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Pública do Estado de São Paulo, o Programa SP Sem Papel,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com vistas à produção, gestão, tramitação, armazenamento,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preservação, segurança e acesso a documentos e informações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arquivísticas em ambiente digital de gestão documental.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§ 1º - A implantação do ambiente digital de gestão documental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junto aos órgãos e entidades da Administração Pública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dar-se-á gradualmente, observado cronograma de datas aprovado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por resolução do Secretário de Governo.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§ 2º - A partir da data de implantação, prevista no cronograma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 que se refere o § 1º deste artigo, junto a cada órgão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ou entidade da Administração Pública, todos os documentos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deverão ser produzidos digitalmente no respectivo âmbito.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Artigo 2º – Para os fins deste decreto, consideram-se: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I – assinatura digital: modalidade de assinatura eletrônica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que utiliza algoritmos de criptografia e permite aferir, com segurança,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 origem e a integridade do documento;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II – assinatura eletrônica: geração, por computador, de símbolo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ou série de símbolos executados, adotados ou autorizados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por um indivíduo, com valor equivalente à assinatura manual do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mesmo indivíduo;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III – autenticidade: credibilidade de documento livre de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adulteração;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IV – captura de documento: incorporação de documento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nato-digital ou digitalizado por meio de registro, classificação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arquivamento em sistema eletrônico;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V – certificação digital: atividade de reconhecimento de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documento com base no estabelecimento de relação única,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exclusiva e intransferível entre uma chave de criptografia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uma pessoa física, jurídica, máquina ou aplicação, por meio da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inserção de um certificado digital por autoridade certificadora;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VI – disponibilidade: razão entre período de tempo em que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o sistema está operacional e acessível e a unidade de tempo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definida como referência;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VII – documento arquivístico: documento de arquivo a que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se refere o inciso IX do artigo 3º do Decreto nº 58.052, de 16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 maio de 2012;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VIII – documento digital: documento codificado em dígitos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binários, acessível e interpretável por meio de sistema computacional;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IX – documento digitalizado: documento obtido a partir da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conversão de documento não digital, gerando uma fiel representação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em código digital, podendo ser capturado por sistemas de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informação específicos;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 – documento nato-digital: documento produzido originariamente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em meio eletrônico, podendo ser: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a) nativo, quando produzido pelo sistema de origem;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b) capturado, quando incorporado de outros sistemas, por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meio de metadados de registro, classificação e arquivamento;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XI – formato de arquivo: regras e padrões descritos formalmente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para a interpretação dos bits constituintes de um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arquivo digital, podendo ser aberto, fechado, proprietário ou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padronizado;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XII – gestão de documentos: conjunto de procedimentos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operações técnicas relativas à produção, classificação, avaliação,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tramitação, uso, arquivamento e reprodução racional e eficiente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 arquivos;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XIII – integridade: propriedade do documento completo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inalterado;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XIV – legibilidade: qualidade que determina a facilidade de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leitura do documento;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XV – metadados: dados estruturados que descrevem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permitem encontrar, gerenciar, compreender ou preservar documentos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digitais no tempo;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XVI – preservação digital: conjunto de ações gerenciais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e técnicas de controle de riscos decorrentes das mudanças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tecnológicas e fragilidade dos suportes, com vistas à proteção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das características físicas, lógicas e conceituais dos documentos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digitais pelo tempo necessário;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lastRenderedPageBreak/>
        <w:t>XVII – processo eletrônico: sucessão de atos registrados e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disponibilizados em meio eletrônico, integrado por documentos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nato-digitais ou digitalizados;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XVIII – processo híbrido: conjunto conceitualmente indivisível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de documentos digitais e não digitais, reunidos em sucessão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cronologicamente encadeada até sua conclusão.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Artigo 3º – São objetivos do Programa SP Sem Papel: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2E8B">
        <w:rPr>
          <w:rFonts w:ascii="Arial" w:hAnsi="Arial" w:cs="Arial"/>
          <w:color w:val="000000"/>
        </w:rPr>
        <w:t>I – produzir documentos e processos eletrônicos com segurança,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transparência, economicidade, sustentabilidade ambiental</w:t>
      </w:r>
      <w:r>
        <w:rPr>
          <w:rFonts w:ascii="Arial" w:hAnsi="Arial" w:cs="Arial"/>
          <w:color w:val="000000"/>
        </w:rPr>
        <w:t xml:space="preserve"> </w:t>
      </w:r>
      <w:r w:rsidRPr="00432E8B">
        <w:rPr>
          <w:rFonts w:ascii="Arial" w:hAnsi="Arial" w:cs="Arial"/>
          <w:color w:val="000000"/>
        </w:rPr>
        <w:t>e, sempre que possível, de forma padronizada;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imprimir maior eficácia e celeridade aos processos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administrativos;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assegurar a proteção da autoria, da autenticidade, da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integridade, da disponibilidade e da legibilidade de documentos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digitais, observadas as disposições da Lei federal nº 12.527,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18 de novembro de 2011;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IV – assegurar a gestão, a preservação e a segurança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e processos eletrônicos no tempo.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4º – A classificação da informação sigilosa e 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proteção de dados pessoais no ambiente digital de gestão documental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observarão as disposições da Lei federal nº 12.527, de 18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novembro de 2011, do Decreto nº 58.052, de 16 de maio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2012, e das demais normas aplicáveis.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5º – A autoria, a autenticidade e a integridade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digitais e da assinatura poderão ser obtidas por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meio de certificação digital emitida conforme padrões definidos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pela Infraestrutura de Chaves Públicas Brasileira – ICP - Brasil,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instituída pela Medida Provisória nº 2.200-2, de 24 de agosto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2001, preservadas as hipóteses legais de anonimato.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O disposto no “caput” deste artigo não obsta 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utilização de outro meio lícito de comprovação da autoria,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autenticidade e integridade de documentos digitais, em especial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aqueles que utilizem identificação por meio de usuário e senha.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Os documentos nato-digitais assinados eletronicamente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na forma deste artigo serão considerados originais nos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termos da lei aplicável.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6º – Os atos processuais praticados no ambiente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digital de gestão documental observarão os prazos definidos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em lei para manifestação dos interessados e para decisão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autoridade competente, sendo considerados realizados na data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horário identificados no recibo eletrônico de protocolo emitido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pelo sistema.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Salvo disposição legal ou regulamentar em contrário,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 ato a ser praticado em prazo determinado será considerado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tempestivo se realizado até as vinte e três horas e cinquenta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nove minutos do último dia do prazo, no horário oficial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Brasília.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Na hipótese prevista no § 1º deste artigo, caso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 sistema se torne indisponível por motivo técnico, o prazo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será automaticamente prorrogado até as vinte e três horas 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cinquenta e nove minutos do primeiro dia útil seguinte ao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retorno da disponibilidade.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3º – Usuários não cadastrados no ambiente digital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gestão documental terão acesso, na forma da lei, a documentos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processos eletrônicos por meio de arquivo em formato digital,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disponibilizado pelo órgão ou entidade da Administração Pública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detentor do documento.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7º - O procedimento de digitalização observará 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disposições da Lei federal nº 12.682, de 9 de julho de 2012, bem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como os critérios técnicos definidos pelo Comitê de Governança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Digital a que alude o artigo 13 deste decreto, devendo preservar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 integridade, a autenticidade, a legibilidade e, se for o caso, 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sigilo do documento digitalizado.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A digitalização de documentos recebidos ou produzidos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no âmbito da Administração Pública será acompanhada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conferência da integridade do documento.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A conferência da integridade a que alude o § 1º deste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artigo deverá registrar se houve exibição de documento original,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cópia autenticada por serviços notariais e de registro,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cópia autenticada administrativamente ou de cópia simples.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3º – Na digitalização de documentos, observar-se-á 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seguinte: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1. os resultantes de original serão considerados cópia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autenticada administrativamente;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2. os resultantes de cópia autenticada por serviços notariais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de registro serão considerados cópia autenticada administrativamente;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3. os resultantes de cópia simples serão assim considerados.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4º – O agente público que receber documento não digital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deverá proceder à sua imediata digitalização, restituindo 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original ao interessado.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5º – Na hipótese de ser inviável a digitalização ou 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restituição do documento não digital, este ficará sob guarda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 órgão ou entidade da Administração Pública, podendo ser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eliminado após o cumprimento de prazos de guarda previstos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nas Tabelas de Temporalidade de Documentos da Administração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 xml:space="preserve">Pública do </w:t>
      </w:r>
      <w:r w:rsidRPr="00432E8B">
        <w:rPr>
          <w:rFonts w:ascii="Arial" w:hAnsi="Arial" w:cs="Arial"/>
        </w:rPr>
        <w:lastRenderedPageBreak/>
        <w:t>Estado de São Paulo, das atividades-meio e das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atividades-fim a que se referem, respectivamente, os Decretos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nº 48.898, de 27 de agosto de 2004, e nº 48.897, de 27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agosto de 2004.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8º – O interessado poderá enviar eletronicamente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digitalizados para juntada a processo eletrônico.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O teor e a integridade dos documentos digitalizados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são de responsabilidade do interessado, que responderá por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eventuais fraudes nos termos da lei.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Os documentos digitalizados enviados pelo interessado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terão valor de cópia simples.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3º – A apresentação do original do documento digitalizado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será necessária quando a lei expressamente o exigir, ou nas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hipóteses previstas nos artigos 9º e 10 deste decreto.</w:t>
      </w:r>
    </w:p>
    <w:p w:rsidR="004615AC" w:rsidRDefault="004615AC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9º – A integridade do documento digitalizado poderá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ser impugnada mediante alegação fundamentada de adulteração,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hipótese em que será instaurado, no âmbito do respectivo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órgão ou entidade da Administração Pública, procedimento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para verificação.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10 – Os órgãos e entidades da Administração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Pública poderão, motivadamente, solicitar a exibição do original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documento digitalizado ou enviado eletronicamente pelo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interessado.</w:t>
      </w:r>
    </w:p>
    <w:p w:rsidR="004615AC" w:rsidRDefault="004615AC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11 – Nos casos de indisponibilidade do ambiente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digital de gestão documental, os atos poderão ser praticados em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meio físico, procedendo-se à oportuna digitalização nos termos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do artigo 7º deste decreto.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Parágrafo único – Os documentos não digitais produzidos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na forma prevista no “caput” deste artigo, mesmo após sua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digitalização,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deverão cumprir os prazos de guarda previstos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nas Tabelas de Temporalidade de Documentos da Administração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Pública do Estado de São Paulo, das atividades-meio e das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atividades-fim a que se referem, respectivamente, os Decretos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nº 48.898, de 27 de agosto de 2004, e nº 48.897, de 27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agosto de 2004.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12 – No ambiente digital de gestão documental, 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serão avaliados e classificados de acordo com 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Planos de Classificação de Documentos da Administração Pública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 Estado de São Paulo, das atividades-meio e das atividades-fim, a que se referem, respectivamente, os Decretos nº 48.898,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27 de agosto de 2004, e nº 48.897, de 27 de agosto de 2004.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Os documentos digitais serão associados a metadados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descritivos, a fim de apoiar sua identificação, indexação,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presunção de autenticidade, preservação e interoperabilidade.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O armazenamento, a segurança e a preservação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digitais considerados de valor permanente deverão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observar as normas e os padrões definidos pela Unidade do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Arquivo Público do Estado.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3º – Os documentos digitais serão eliminados nos prazos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previstos nas Tabelas de Temporalidade de Documentos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Administração Pública do Estado de São Paulo, das atividades-meio e atividades-fim, a que se referem, respectivamente, 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Decretos nº 48.898, de 27 de agosto de 2004, e nº 48.897, de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27 de agosto de 2004.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13 – Fica instituído, junto à Secretaria de Governo, 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Comitê de Governança Digital do Programa SP Sem Papel, com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as seguintes atribuições: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propor políticas, estratégias, ações, procedimentos 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técnicas de preservação e segurança digital;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assegurar a implantação, gestão, manutenção e atualização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contínua do ambiente digital de gestão documental;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controlar os riscos decorrentes da degradação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suporte, da obsolescência tecnológica e da dependência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fornecedor ou fabricante;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IV – fixar diretrizes e parâmetros a serem observados nos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procedimentos de implantação e manutenção do Programa SP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Sem Papel;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 – promover a articulação e alinhamento de ações estratégicas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relativas ao Programa SP Sem Papel, em conformidade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com a política estadual de arquivos e gestão documental;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VI – analisar propostas apresentadas por órgãos e entidades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da Administração Pública, relativas ao ambiente digital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gestão documental, emitindo parecer técnico conclusivo;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VII – disciplinar a produção de documentos ou processos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híbridos e aprovar os critérios técnicos a serem observados no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procedimento de digitalização;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VIII – manifestar-se, quando provocado, sobre hipóteses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não disciplinadas neste decreto, relativas ao ambiente digital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gestão documental.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Parágrafo único – O Departamento de Gestão do Sistema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Arquivos do Estado de São Paulo, da Unidade do Arquivo Público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 Estado, fornecerá o apoio necessário ao Comitê de Governança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lastRenderedPageBreak/>
        <w:t>Digital para desempenho de suas atribuições.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14 – O Comitê de Governança Digital será integrado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por representantes e respectivos suplentes designados pelo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Secretário de Governo, na seguinte conformidade: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3 (três) da Secretaria de Governo, sendo: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a) 1 (um) do Gabinete do Secretário, que coordenará 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trabalhos;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b) o Coordenador da Unidade do Arquivo Público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Estado, órgão central do Sistema de Arquivos do Estado de São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Paulo – SAESP;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c) 1 (um) da Coordenação de Tecnologia da Informação 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Comunicação – CTIC;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1 (um) da Secretaria da Fazenda e Planejamento, indicado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pelo Titular da Pasta;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1 (um) da Procuradoria Geral do Estado, indicado pelo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Procurador Geral do Estado;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IV – 1 (um) da Companhia de Processamento de Dados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Estado de São Paulo – PRODESP.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O regimento interno do Comitê de Governança Digital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será aprovado mediante resolução do Secretário de Governo.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O Comitê de Governança Digital poderá convidar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especialistas de órgãos e entidades da Administração Pública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para, sem prejuízo de suas atribuições na origem, contribuir no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desenvolvimento de ações ou projetos específicos.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3º – O representante ou suplente a que se refere o inciso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IV deste artigo participará das deliberações do Comitê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Governança Digital nas hipóteses em que não houver conflito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interesses, observado o disposto no artigo 18 deste decreto.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4º – A participação no Comitê de que trata este artigo não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será remunerada, mas considerada serviço público relevante.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15 – À Unidade do Arquivo Público do Estado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São Paulo cabe: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secretariar as atividades do Comitê de Governança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assessorar o Comitê de Governança Digital na fixação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diretrizes e parâmetros de implementação e manutenção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ambiente digital de gestão documental, em conformidade com 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política estadual de arquivos e gestão documental;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promover a modelagem e a padronização da produção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documentos digitais, de forma coordenada com os órgãos 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as entidades da Administração Pública;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IV – auxiliar e orientar os órgãos e as entidades da Administração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Pública na implantação, execução e manutenção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Programa SP Sem Papel, observadas as deliberações do Comitê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Governança Digital;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 – promover estudos e propor critérios para a migração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dados, a interoperabilidade ou a integração com sistemas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legados;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VI – orientar a identificação, análise tipológica, padronização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 fluxo e modelagem de documentos digitais.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1º – O Coordenador da Unidade do Arquivo Público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Estado editará, no prazo de 30 (trinta) dias contados da publicação deste decreto, portaria veiculando os requisitos arquivísticos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respectivos metadados a serem observados no ambiente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digital de gestão documental.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§ 2º – A inclusão de modelos de documentos digitais no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ambiente digital de gestão documental será solicitada, por meio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 sistema eletrônico, à Unidade do Arquivo Público do Estado,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devendo observar o disposto no artigo 18 do Decreto nº 48.897,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27 de agosto de 2004.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16 – Às Comissões de Avaliação de Documentos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 xml:space="preserve">e Acesso – </w:t>
      </w:r>
      <w:proofErr w:type="spellStart"/>
      <w:r w:rsidRPr="00432E8B">
        <w:rPr>
          <w:rFonts w:ascii="Arial" w:hAnsi="Arial" w:cs="Arial"/>
        </w:rPr>
        <w:t>CADAs</w:t>
      </w:r>
      <w:proofErr w:type="spellEnd"/>
      <w:r w:rsidRPr="00432E8B">
        <w:rPr>
          <w:rFonts w:ascii="Arial" w:hAnsi="Arial" w:cs="Arial"/>
        </w:rPr>
        <w:t xml:space="preserve"> dos órgãos e entidades da Administração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Pública, observadas as disposições dos Decretos nº 29.838,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18 de abril de 1989, nº 48.897, de 27 de agosto de 2004, e nº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58.052, de 16 de maio de 2012, nos seus respectivos âmbitos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de atuação, cabe: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a gestão de documentos digitais;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o acompanhamento da implantação, da execução e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manutenção do ambiente digital de gestão documental;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a modelagem de documentos digitais, observado 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disposto nos §§ 1º e 2º do artigo 15 deste decreto.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17 – Às unidades de protocolo dos órgãos e entidades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da Administração Pública cabe monitorar a produção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digitais e observar sua conformidade com os planos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classificação de documentos oficializados.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18 – À Companhia de Processamento de Dados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Estado de São Paulo – PRODESP cabe o desenvolvimento, 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implantação, o processamento e o fornecimento do suporte tecnológico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necessários para o Programa SP Sem Papel, bem como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 orientação às áreas de tecnologia da informação junto aos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lastRenderedPageBreak/>
        <w:t>órgãos e às entidades da Administração Pública, para a utilização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a manutenção do ambiente digital de gestão documental.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19 – A manutenção e o constante aprimoramento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ambiente digital de gestão documental observarão as diretrizes,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as normas e os procedimentos definidos na política estadual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arquivos e de gestão documental.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Parágrafo único – Caberá aos órgãos e entidades da Administração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Pública, no âmbito de suas atribuições, estabelecer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programas, estratégias e ações para acompanhar as mudanças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tecnológicas e prevenir a fragilidade dos suportes, conforme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definido pelo Comitê de Governança Digital.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20 – O representante da Fazenda do Estado perante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empresas por este controladas adotará providências visando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à aplicação do disposto neste decreto, no que couber, a essas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entidades.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21 – A Corregedoria Geral da Administração,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Secretaria de Governo, dentro de suas atribuições, acompanhará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 cumprimento do disposto neste decreto.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22 – As universidades públicas estaduais poderão,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mediante celebração de instrumentos específicos, aderir ao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ambiente digital de gestão documental.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23 – O Secretário de Governo poderá, mediante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resolução, editar normas complementares necessárias ao cumprimento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deste decreto.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24 – A alínea “c” do inciso IV do artigo 6º do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Decreto nº 54.276, de 27 de abril de 2009, passa a vigorar com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 seguinte redação: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“c) do Centro de Processamento de Informações Digitais, 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Núcleo de Suporte de Imagens Digitais e o Núcleo de Desenvolvimento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Evolução de Sistemas Informatizados;”. (NR)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25 – Ficam acrescidos os seguintes dispositivos ao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Decreto nº 54.276, de 27 de abril de 2009: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ao artigo 3º: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a) a alínea “c” do inciso III: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“c) Núcleo de Desenvolvimento e Evolução de Sistemas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Informatizados;”;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b) a alínea “e” do inciso IV: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“e) Centro de Gestão e Preservação de Documentos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Digitais;”;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ao artigo 10, o inciso IV: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“IV – por meio do Núcleo de Desenvolvimento e Evolução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Sistemas Informatizados: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a) propor o uso de novas tecnologias para implantação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política estadual de arquivos e gestão documental;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b) promover ações de desenvolvimento, implantação, aprimoramento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 manutenção de sistemas informatizados;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c) colaborar na definição de requisitos que garantam a preservação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longo prazo de documentos arquivísticos digitais,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visando à implantação de repositório digital confiável;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d) colaborar com ações de capacitação e orientação técnica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permanente no processo de implantação e operação de sistemas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informatizados.”;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o artigo 16-A: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“Artigo 16-A – O Centro de Gestão e Preservação de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Digitais tem, por meio do seu Corpo Técnico, 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seguintes atribuições: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promover estudos para a aplicação de tecnologias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informação às atividades de produção, gestão, preservação,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segurança e acesso aos documentos e informações arquivísticas;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propor a edição de normas que se fizerem necessárias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para o ambiente digital de gestão documental;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propor metodologia e orientar os órgãos e entidades da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Administração Pública no processo de modelagem de documentos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digitais e na definição de padrões de formato e conteúdo;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IV– propor e zelar pela observância das regras de negócio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na parametrização e aprimoramento tecnológico de soluções;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V – apoiar as atividades e organizar o expediente do Comitê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Governança Digital.”.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26 – Ficam extintos, no Quadro de Pessoal da Secretaria</w:t>
      </w:r>
      <w:r w:rsidR="004615AC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 Governo, 7 (sete) cargos vagos de Oficial Operacional.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Parágrafo único – O Departamento de Recursos Humanos,</w:t>
      </w:r>
      <w:r w:rsidR="00F80986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da Secretaria de Governo, providenciará, no prazo de 15 (quinze)</w:t>
      </w:r>
      <w:r w:rsidR="00F80986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dias contados a partir da data da publicação deste decreto, a</w:t>
      </w:r>
      <w:r w:rsidR="00F80986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relação dos cargos extintos por este artigo, com indicação do</w:t>
      </w:r>
      <w:r w:rsidR="00F80986"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último ocupante e motivo da vacância.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27 – Após a entrada em vigor deste decreto, fica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vedado aos órgãos e entidades da Administração Pública a contratação, o desenvolvimento ou a adoção de sistemas informatizados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que tenham o mesmo escopo dos sistemas integrantes do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ambiente digital de gestão documental.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28 – Este decreto e suas disposições transitórias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entram em vigor na data da sua publicação, observados, em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especial, os §§ 1º e 2º de seu artigo 1º, ficando revogados: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 – o Decreto nº 55.479, de 25 de fevereiro de 2010;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 – o Decreto nº 57.285, de 26 de agosto de 2011;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III – o Decreto nº 57.286, de 26 de agosto de 2011;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IV – o Decreto nº 62.162, de 24 de agosto de 2016.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DAS DISPOSIÇÕES TRANSITÓRIAS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1º – A partir da data da implantação do Programa SP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Sem Papel junto aos órgãos e entidades da Administração Pública,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documentos e processos em curso deverão seguir seu trâmite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no formato em que iniciados, até o seu encerramento definitivo.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Parágrafo único – A produção de documentos ou processos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híbridos será disciplinada pelo Comitê de Governança Digital.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2º – No prazo de até 3 (três) anos contados da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data da publicação deste decreto, os órgãos e as entidades da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Administração Pública deverão providenciar a adequação de sistemas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informatizados em operação aos requisitos arquivísticos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definidos pela Unidade do Arquivo Público do Estado, bem como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 migração, a integração ou a interoperabilidade de sistemas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legados com o ambiente digital de gestão documental.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Artigo 3º – Eventuais projetos em desenvolvimento visando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à produção digital ou à gestão eletrônica de documentos digitais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deverão ser encaminhados ao Comitê de Governança Digital,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para avaliação de sua conformidade com os requisitos arquivísticos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obrigatórios e a política estadual de gestão documental.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Palácio dos Bandeirantes, 31 de julho de 2019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JOÃO DORIA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Gustavo Diniz Junqueira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Agricultura e Abastecimento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Patrícia Ellen da Silva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Secretária de Desenvolvimento Econômico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Sergio Henrique Sá Leitão Filho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Cultura e Economia Criativa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432E8B">
        <w:rPr>
          <w:rFonts w:ascii="Arial" w:hAnsi="Arial" w:cs="Arial"/>
          <w:i/>
          <w:iCs/>
        </w:rPr>
        <w:t>Rossieli</w:t>
      </w:r>
      <w:proofErr w:type="spellEnd"/>
      <w:r w:rsidRPr="00432E8B">
        <w:rPr>
          <w:rFonts w:ascii="Arial" w:hAnsi="Arial" w:cs="Arial"/>
          <w:i/>
          <w:iCs/>
        </w:rPr>
        <w:t xml:space="preserve"> Soares da Silva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Educação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Henrique de Campos Meirelles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Fazenda e Planejamento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Flavio Augusto Ayres </w:t>
      </w:r>
      <w:proofErr w:type="spellStart"/>
      <w:r w:rsidRPr="00432E8B">
        <w:rPr>
          <w:rFonts w:ascii="Arial" w:hAnsi="Arial" w:cs="Arial"/>
          <w:i/>
          <w:iCs/>
        </w:rPr>
        <w:t>Amary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Habitação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João Octaviano Machado Neto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Logística e Transportes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Paulo Dimas </w:t>
      </w:r>
      <w:proofErr w:type="spellStart"/>
      <w:r w:rsidRPr="00432E8B">
        <w:rPr>
          <w:rFonts w:ascii="Arial" w:hAnsi="Arial" w:cs="Arial"/>
          <w:i/>
          <w:iCs/>
        </w:rPr>
        <w:t>Debellis</w:t>
      </w:r>
      <w:proofErr w:type="spellEnd"/>
      <w:r w:rsidRPr="00432E8B">
        <w:rPr>
          <w:rFonts w:ascii="Arial" w:hAnsi="Arial" w:cs="Arial"/>
          <w:i/>
          <w:iCs/>
        </w:rPr>
        <w:t xml:space="preserve"> </w:t>
      </w:r>
      <w:proofErr w:type="spellStart"/>
      <w:r w:rsidRPr="00432E8B">
        <w:rPr>
          <w:rFonts w:ascii="Arial" w:hAnsi="Arial" w:cs="Arial"/>
          <w:i/>
          <w:iCs/>
        </w:rPr>
        <w:t>Mascaretti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Justiça e Cidadania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Marcos Rodrigues Penido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Infraestrutura e Meio Ambiente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Celia </w:t>
      </w:r>
      <w:proofErr w:type="spellStart"/>
      <w:r w:rsidRPr="00432E8B">
        <w:rPr>
          <w:rFonts w:ascii="Arial" w:hAnsi="Arial" w:cs="Arial"/>
          <w:i/>
          <w:iCs/>
        </w:rPr>
        <w:t>Kochen</w:t>
      </w:r>
      <w:proofErr w:type="spellEnd"/>
      <w:r w:rsidRPr="00432E8B">
        <w:rPr>
          <w:rFonts w:ascii="Arial" w:hAnsi="Arial" w:cs="Arial"/>
          <w:i/>
          <w:iCs/>
        </w:rPr>
        <w:t xml:space="preserve"> </w:t>
      </w:r>
      <w:proofErr w:type="spellStart"/>
      <w:r w:rsidRPr="00432E8B">
        <w:rPr>
          <w:rFonts w:ascii="Arial" w:hAnsi="Arial" w:cs="Arial"/>
          <w:i/>
          <w:iCs/>
        </w:rPr>
        <w:t>Parnes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Secretária de Desenvolvimento Social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Marco Antonio </w:t>
      </w:r>
      <w:proofErr w:type="spellStart"/>
      <w:r w:rsidRPr="00432E8B">
        <w:rPr>
          <w:rFonts w:ascii="Arial" w:hAnsi="Arial" w:cs="Arial"/>
          <w:i/>
          <w:iCs/>
        </w:rPr>
        <w:t>Scarasati</w:t>
      </w:r>
      <w:proofErr w:type="spellEnd"/>
      <w:r w:rsidRPr="00432E8B">
        <w:rPr>
          <w:rFonts w:ascii="Arial" w:hAnsi="Arial" w:cs="Arial"/>
          <w:i/>
          <w:iCs/>
        </w:rPr>
        <w:t xml:space="preserve"> </w:t>
      </w:r>
      <w:proofErr w:type="spellStart"/>
      <w:r w:rsidRPr="00432E8B">
        <w:rPr>
          <w:rFonts w:ascii="Arial" w:hAnsi="Arial" w:cs="Arial"/>
          <w:i/>
          <w:iCs/>
        </w:rPr>
        <w:t>Vinholi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Desenvolvimento Regional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José Henrique </w:t>
      </w:r>
      <w:proofErr w:type="spellStart"/>
      <w:r w:rsidRPr="00432E8B">
        <w:rPr>
          <w:rFonts w:ascii="Arial" w:hAnsi="Arial" w:cs="Arial"/>
          <w:i/>
          <w:iCs/>
        </w:rPr>
        <w:t>Germann</w:t>
      </w:r>
      <w:proofErr w:type="spellEnd"/>
      <w:r w:rsidRPr="00432E8B">
        <w:rPr>
          <w:rFonts w:ascii="Arial" w:hAnsi="Arial" w:cs="Arial"/>
          <w:i/>
          <w:iCs/>
        </w:rPr>
        <w:t xml:space="preserve"> Ferreira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Saúde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João Camilo Pires de Campos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da Segurança Pública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Nivaldo Cesar Restivo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lastRenderedPageBreak/>
        <w:t>Secretário da Administração Penitenciária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Alexandre </w:t>
      </w:r>
      <w:proofErr w:type="spellStart"/>
      <w:r w:rsidRPr="00432E8B">
        <w:rPr>
          <w:rFonts w:ascii="Arial" w:hAnsi="Arial" w:cs="Arial"/>
          <w:i/>
          <w:iCs/>
        </w:rPr>
        <w:t>Baldy</w:t>
      </w:r>
      <w:proofErr w:type="spellEnd"/>
      <w:r w:rsidRPr="00432E8B">
        <w:rPr>
          <w:rFonts w:ascii="Arial" w:hAnsi="Arial" w:cs="Arial"/>
          <w:i/>
          <w:iCs/>
        </w:rPr>
        <w:t xml:space="preserve"> de Sant’Anna Braga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dos Transportes Metropolitanos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432E8B">
        <w:rPr>
          <w:rFonts w:ascii="Arial" w:hAnsi="Arial" w:cs="Arial"/>
          <w:i/>
          <w:iCs/>
        </w:rPr>
        <w:t>Aildo</w:t>
      </w:r>
      <w:proofErr w:type="spellEnd"/>
      <w:r w:rsidRPr="00432E8B">
        <w:rPr>
          <w:rFonts w:ascii="Arial" w:hAnsi="Arial" w:cs="Arial"/>
          <w:i/>
          <w:iCs/>
        </w:rPr>
        <w:t xml:space="preserve"> Rodrigues Ferreira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Esportes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Vinicius Rene </w:t>
      </w:r>
      <w:proofErr w:type="spellStart"/>
      <w:r w:rsidRPr="00432E8B">
        <w:rPr>
          <w:rFonts w:ascii="Arial" w:hAnsi="Arial" w:cs="Arial"/>
          <w:i/>
          <w:iCs/>
        </w:rPr>
        <w:t>Lummertz</w:t>
      </w:r>
      <w:proofErr w:type="spellEnd"/>
      <w:r w:rsidRPr="00432E8B">
        <w:rPr>
          <w:rFonts w:ascii="Arial" w:hAnsi="Arial" w:cs="Arial"/>
          <w:i/>
          <w:iCs/>
        </w:rPr>
        <w:t xml:space="preserve"> Silva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Turismo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Celia Camargo Leão </w:t>
      </w:r>
      <w:proofErr w:type="spellStart"/>
      <w:r w:rsidRPr="00432E8B">
        <w:rPr>
          <w:rFonts w:ascii="Arial" w:hAnsi="Arial" w:cs="Arial"/>
          <w:i/>
          <w:iCs/>
        </w:rPr>
        <w:t>Edelmuth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Secretária dos Direitos da Pessoa com Deficiência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432E8B">
        <w:rPr>
          <w:rFonts w:ascii="Arial" w:hAnsi="Arial" w:cs="Arial"/>
          <w:i/>
          <w:iCs/>
        </w:rPr>
        <w:t>Julio</w:t>
      </w:r>
      <w:proofErr w:type="spellEnd"/>
      <w:r w:rsidRPr="00432E8B">
        <w:rPr>
          <w:rFonts w:ascii="Arial" w:hAnsi="Arial" w:cs="Arial"/>
          <w:i/>
          <w:iCs/>
        </w:rPr>
        <w:t xml:space="preserve"> </w:t>
      </w:r>
      <w:proofErr w:type="spellStart"/>
      <w:r w:rsidRPr="00432E8B">
        <w:rPr>
          <w:rFonts w:ascii="Arial" w:hAnsi="Arial" w:cs="Arial"/>
          <w:i/>
          <w:iCs/>
        </w:rPr>
        <w:t>Serson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Relações Internacionais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 xml:space="preserve">Antonio Carlos </w:t>
      </w:r>
      <w:proofErr w:type="spellStart"/>
      <w:r w:rsidRPr="00432E8B">
        <w:rPr>
          <w:rFonts w:ascii="Arial" w:hAnsi="Arial" w:cs="Arial"/>
          <w:i/>
          <w:iCs/>
        </w:rPr>
        <w:t>Rizeque</w:t>
      </w:r>
      <w:proofErr w:type="spellEnd"/>
      <w:r w:rsidRPr="00432E8B">
        <w:rPr>
          <w:rFonts w:ascii="Arial" w:hAnsi="Arial" w:cs="Arial"/>
          <w:i/>
          <w:iCs/>
        </w:rPr>
        <w:t xml:space="preserve"> </w:t>
      </w:r>
      <w:proofErr w:type="spellStart"/>
      <w:r w:rsidRPr="00432E8B">
        <w:rPr>
          <w:rFonts w:ascii="Arial" w:hAnsi="Arial" w:cs="Arial"/>
          <w:i/>
          <w:iCs/>
        </w:rPr>
        <w:t>Malufe</w:t>
      </w:r>
      <w:proofErr w:type="spellEnd"/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Executivo, Respondendo pelo Expediente da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Casa Civil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32E8B">
        <w:rPr>
          <w:rFonts w:ascii="Arial" w:hAnsi="Arial" w:cs="Arial"/>
          <w:i/>
          <w:iCs/>
        </w:rPr>
        <w:t>Rodrigo Garcia</w:t>
      </w: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Secretário de Governo</w:t>
      </w:r>
    </w:p>
    <w:p w:rsid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2E8B" w:rsidRPr="00432E8B" w:rsidRDefault="00432E8B" w:rsidP="0043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E8B">
        <w:rPr>
          <w:rFonts w:ascii="Arial" w:hAnsi="Arial" w:cs="Arial"/>
        </w:rPr>
        <w:t>Publicado na Secretaria de Governo, aos 31 de julho de</w:t>
      </w:r>
      <w:r>
        <w:rPr>
          <w:rFonts w:ascii="Arial" w:hAnsi="Arial" w:cs="Arial"/>
        </w:rPr>
        <w:t xml:space="preserve"> </w:t>
      </w:r>
      <w:r w:rsidRPr="00432E8B">
        <w:rPr>
          <w:rFonts w:ascii="Arial" w:hAnsi="Arial" w:cs="Arial"/>
        </w:rPr>
        <w:t>2019.</w:t>
      </w:r>
    </w:p>
    <w:sectPr w:rsidR="00432E8B" w:rsidRPr="00432E8B" w:rsidSect="00432E8B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8B"/>
    <w:rsid w:val="00226939"/>
    <w:rsid w:val="00432E8B"/>
    <w:rsid w:val="004615AC"/>
    <w:rsid w:val="005361DF"/>
    <w:rsid w:val="006424B1"/>
    <w:rsid w:val="00B7712D"/>
    <w:rsid w:val="00BE03C0"/>
    <w:rsid w:val="00E058FB"/>
    <w:rsid w:val="00EB0D21"/>
    <w:rsid w:val="00F8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0929B-BF56-4299-84C0-756C3B4B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3804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 Paulo Visioni Casetto</dc:creator>
  <cp:keywords/>
  <dc:description/>
  <cp:lastModifiedBy>Gracielle Cristina Vieira De Mattos</cp:lastModifiedBy>
  <cp:revision>2</cp:revision>
  <cp:lastPrinted>2019-08-01T12:03:00Z</cp:lastPrinted>
  <dcterms:created xsi:type="dcterms:W3CDTF">2019-08-12T13:39:00Z</dcterms:created>
  <dcterms:modified xsi:type="dcterms:W3CDTF">2019-08-12T13:39:00Z</dcterms:modified>
</cp:coreProperties>
</file>