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  <w:b/>
          <w:bCs/>
        </w:rPr>
        <w:t>Resumo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</w:rPr>
        <w:t>A Universidade de São Paulo possui, em seu interior, um trecho do </w:t>
      </w:r>
      <w:r w:rsidRPr="00BB257B">
        <w:rPr>
          <w:rFonts w:ascii="Cambria" w:hAnsi="Cambria" w:cs="Segoe UI"/>
          <w:b/>
          <w:bCs/>
        </w:rPr>
        <w:t xml:space="preserve">córrego </w:t>
      </w:r>
      <w:proofErr w:type="spellStart"/>
      <w:r w:rsidRPr="00BB257B">
        <w:rPr>
          <w:rFonts w:ascii="Cambria" w:hAnsi="Cambria" w:cs="Segoe UI"/>
          <w:b/>
          <w:bCs/>
        </w:rPr>
        <w:t>Pirajussara</w:t>
      </w:r>
      <w:proofErr w:type="spellEnd"/>
      <w:r w:rsidRPr="00BB257B">
        <w:rPr>
          <w:rFonts w:ascii="Cambria" w:hAnsi="Cambria" w:cs="Segoe UI"/>
          <w:b/>
          <w:bCs/>
        </w:rPr>
        <w:t> </w:t>
      </w:r>
      <w:r w:rsidRPr="00BB257B">
        <w:rPr>
          <w:rFonts w:ascii="Cambria" w:hAnsi="Cambria" w:cs="Segoe UI"/>
        </w:rPr>
        <w:t>cuja nascente está em Embu das Artes e a foz no Rio Pinheiros. Um projeto de Monitoramento dos Recursos Hídricos da Universidade de São Paulo (</w:t>
      </w:r>
      <w:proofErr w:type="spellStart"/>
      <w:r w:rsidRPr="00BB257B">
        <w:rPr>
          <w:rFonts w:ascii="Cambria" w:hAnsi="Cambria" w:cs="Segoe UI"/>
        </w:rPr>
        <w:t>RHiUSP</w:t>
      </w:r>
      <w:proofErr w:type="spellEnd"/>
      <w:r w:rsidRPr="00BB257B">
        <w:rPr>
          <w:rFonts w:ascii="Cambria" w:hAnsi="Cambria" w:cs="Segoe UI"/>
        </w:rPr>
        <w:t xml:space="preserve">), realizado em 2014, indicou a péssima qualidade da água em função de parâmetros de análise de coliformes fecais tanto do trecho de entrada no campus da USP bem como o trecho próximo a foz do córrego </w:t>
      </w:r>
      <w:proofErr w:type="spellStart"/>
      <w:r w:rsidRPr="00BB257B">
        <w:rPr>
          <w:rFonts w:ascii="Cambria" w:hAnsi="Cambria" w:cs="Segoe UI"/>
        </w:rPr>
        <w:t>Pirajussara</w:t>
      </w:r>
      <w:proofErr w:type="spellEnd"/>
      <w:r w:rsidRPr="00BB257B">
        <w:rPr>
          <w:rFonts w:ascii="Cambria" w:hAnsi="Cambria" w:cs="Segoe UI"/>
        </w:rPr>
        <w:t>. Na oficina os </w:t>
      </w:r>
      <w:proofErr w:type="spellStart"/>
      <w:r w:rsidRPr="00BB257B">
        <w:rPr>
          <w:rFonts w:ascii="Cambria" w:hAnsi="Cambria" w:cs="Segoe UI"/>
          <w:b/>
          <w:bCs/>
        </w:rPr>
        <w:t>alunos</w:t>
      </w:r>
      <w:r w:rsidRPr="00BB257B">
        <w:rPr>
          <w:rFonts w:ascii="Cambria" w:hAnsi="Cambria" w:cs="Segoe UI"/>
        </w:rPr>
        <w:t>participarão</w:t>
      </w:r>
      <w:proofErr w:type="spellEnd"/>
      <w:r w:rsidRPr="00BB257B">
        <w:rPr>
          <w:rFonts w:ascii="Cambria" w:hAnsi="Cambria" w:cs="Segoe UI"/>
        </w:rPr>
        <w:t xml:space="preserve"> da </w:t>
      </w:r>
      <w:r w:rsidRPr="00BB257B">
        <w:rPr>
          <w:rFonts w:ascii="Cambria" w:hAnsi="Cambria" w:cs="Segoe UI"/>
          <w:b/>
          <w:bCs/>
        </w:rPr>
        <w:t>coleta da água do córrego</w:t>
      </w:r>
      <w:r w:rsidRPr="00BB257B">
        <w:rPr>
          <w:rFonts w:ascii="Cambria" w:hAnsi="Cambria" w:cs="Segoe UI"/>
        </w:rPr>
        <w:t xml:space="preserve"> e das </w:t>
      </w:r>
      <w:proofErr w:type="spellStart"/>
      <w:r w:rsidRPr="00BB257B">
        <w:rPr>
          <w:rFonts w:ascii="Cambria" w:hAnsi="Cambria" w:cs="Segoe UI"/>
        </w:rPr>
        <w:t>analises</w:t>
      </w:r>
      <w:proofErr w:type="spellEnd"/>
      <w:r w:rsidRPr="00BB257B">
        <w:rPr>
          <w:rFonts w:ascii="Cambria" w:hAnsi="Cambria" w:cs="Segoe UI"/>
        </w:rPr>
        <w:t xml:space="preserve"> em laboratório de química. Pretende-se que os alunos das escolas da região entrem em contato com o ambiente do córrego na USP e utilizem de conceitos relacionados ao tema </w:t>
      </w:r>
      <w:r w:rsidRPr="00BB257B">
        <w:rPr>
          <w:rFonts w:ascii="Cambria" w:hAnsi="Cambria" w:cs="Segoe UI"/>
          <w:b/>
          <w:bCs/>
        </w:rPr>
        <w:t>Equilíbrio Químico</w:t>
      </w:r>
      <w:r w:rsidRPr="00BB257B">
        <w:rPr>
          <w:rFonts w:ascii="Cambria" w:hAnsi="Cambria" w:cs="Segoe UI"/>
        </w:rPr>
        <w:t> e de </w:t>
      </w:r>
      <w:r w:rsidRPr="00BB257B">
        <w:rPr>
          <w:rFonts w:ascii="Cambria" w:hAnsi="Cambria" w:cs="Segoe UI"/>
          <w:b/>
          <w:bCs/>
        </w:rPr>
        <w:t>técnicas analíticas clássicas</w:t>
      </w:r>
      <w:r w:rsidRPr="00BB257B">
        <w:rPr>
          <w:rFonts w:ascii="Cambria" w:hAnsi="Cambria" w:cs="Segoe UI"/>
        </w:rPr>
        <w:t> (complexificação de metais) e </w:t>
      </w:r>
      <w:r w:rsidRPr="00BB257B">
        <w:rPr>
          <w:rFonts w:ascii="Cambria" w:hAnsi="Cambria" w:cs="Segoe UI"/>
          <w:b/>
          <w:bCs/>
        </w:rPr>
        <w:t>instrumentais</w:t>
      </w:r>
      <w:r w:rsidRPr="00BB257B">
        <w:rPr>
          <w:rFonts w:ascii="Cambria" w:hAnsi="Cambria" w:cs="Segoe UI"/>
        </w:rPr>
        <w:t> (</w:t>
      </w:r>
      <w:proofErr w:type="spellStart"/>
      <w:r w:rsidRPr="00BB257B">
        <w:rPr>
          <w:rFonts w:ascii="Cambria" w:hAnsi="Cambria" w:cs="Segoe UI"/>
        </w:rPr>
        <w:t>ph</w:t>
      </w:r>
      <w:proofErr w:type="spellEnd"/>
      <w:r w:rsidRPr="00BB257B">
        <w:rPr>
          <w:rFonts w:ascii="Cambria" w:hAnsi="Cambria" w:cs="Segoe UI"/>
        </w:rPr>
        <w:t>, condutibilidade elétrica e demanda de oxigênio) como forma de verificar a </w:t>
      </w:r>
      <w:r w:rsidRPr="00BB257B">
        <w:rPr>
          <w:rFonts w:ascii="Cambria" w:hAnsi="Cambria" w:cs="Segoe UI"/>
          <w:b/>
          <w:bCs/>
        </w:rPr>
        <w:t>qualidade da água</w:t>
      </w:r>
      <w:r w:rsidRPr="00BB257B">
        <w:rPr>
          <w:rFonts w:ascii="Cambria" w:hAnsi="Cambria" w:cs="Segoe UI"/>
        </w:rPr>
        <w:t> do córrego.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</w:rPr>
        <w:t> 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  <w:b/>
          <w:bCs/>
        </w:rPr>
        <w:t>Datas de oferecimentos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</w:rPr>
        <w:t>A oficina terá duração de três horas, das 14 às 17h, e será oferecida em três datas: 25, 26 e 27 de outubro. A escola pode escolher a melhor data para trazer os alunos e fazer sua inscrição no site do evento!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  <w:b/>
          <w:bCs/>
        </w:rPr>
        <w:t>Audiência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Arial"/>
        </w:rPr>
        <w:t>Indicado para alunos de Ensino Médio e do nono ano do Ensino Fundamental.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  <w:b/>
          <w:bCs/>
        </w:rPr>
        <w:t>Local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</w:rPr>
        <w:t>Laboratório de Química da Faculdade de Educação da USP.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  <w:r w:rsidRPr="00BB257B">
        <w:rPr>
          <w:rFonts w:ascii="Cambria" w:hAnsi="Cambria" w:cs="Segoe UI"/>
        </w:rPr>
        <w:t>Avenida da Universidade, 308, Cidade Universitária, São Paulo/SP, CEP.: 05508-040.</w:t>
      </w:r>
    </w:p>
    <w:p w:rsidR="00281AD5" w:rsidRPr="00BB257B" w:rsidRDefault="00281AD5" w:rsidP="00281AD5">
      <w:pPr>
        <w:shd w:val="clear" w:color="auto" w:fill="FFFFFF"/>
        <w:jc w:val="both"/>
        <w:rPr>
          <w:rFonts w:ascii="Cambria" w:hAnsi="Cambria" w:cs="Segoe UI"/>
        </w:rPr>
      </w:pPr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1D2129"/>
        </w:rPr>
      </w:pPr>
      <w:r w:rsidRPr="00907688">
        <w:rPr>
          <w:rFonts w:ascii="Cambria" w:hAnsi="Cambria" w:cs="Segoe UI"/>
          <w:b/>
          <w:bCs/>
          <w:color w:val="1D2129"/>
        </w:rPr>
        <w:t>Link para inscrição</w:t>
      </w:r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212121"/>
        </w:rPr>
      </w:pPr>
      <w:hyperlink r:id="rId4" w:tgtFrame="_blank" w:history="1">
        <w:r w:rsidRPr="00907688">
          <w:rPr>
            <w:rFonts w:ascii="Cambria" w:hAnsi="Cambria" w:cs="Segoe UI"/>
            <w:color w:val="0000FF"/>
            <w:u w:val="single"/>
          </w:rPr>
          <w:t>http://usp.br/semanact/2017/evento/voce-sabe-o-que-tem-na-agua-do-corrego-pirajussara-3/</w:t>
        </w:r>
      </w:hyperlink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212121"/>
        </w:rPr>
      </w:pPr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907688">
        <w:rPr>
          <w:rFonts w:ascii="Cambria" w:hAnsi="Cambria" w:cs="Segoe UI"/>
          <w:b/>
          <w:bCs/>
          <w:color w:val="1D2129"/>
        </w:rPr>
        <w:t>Outras atividades da Semana USP de Ciência e Tecnologia</w:t>
      </w:r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907688">
        <w:rPr>
          <w:rFonts w:ascii="Cambria" w:hAnsi="Cambria" w:cs="Segoe UI"/>
          <w:color w:val="1D2129"/>
        </w:rPr>
        <w:t xml:space="preserve">Aproveite a visita para participar de outras atividades: </w:t>
      </w:r>
      <w:hyperlink r:id="rId5" w:tgtFrame="_blank" w:history="1">
        <w:r w:rsidRPr="00907688">
          <w:rPr>
            <w:rFonts w:ascii="Cambria" w:hAnsi="Cambria" w:cs="Segoe UI"/>
            <w:color w:val="0000FF"/>
            <w:u w:val="single"/>
          </w:rPr>
          <w:t>http://usp.br/semanact/2017/</w:t>
        </w:r>
      </w:hyperlink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212121"/>
        </w:rPr>
      </w:pPr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907688">
        <w:rPr>
          <w:rFonts w:ascii="Cambria" w:hAnsi="Cambria" w:cs="Segoe UI"/>
          <w:color w:val="1D2129"/>
        </w:rPr>
        <w:t>Cordialmente,</w:t>
      </w:r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907688">
        <w:rPr>
          <w:rFonts w:ascii="Cambria" w:hAnsi="Cambria" w:cs="Segoe UI"/>
          <w:color w:val="222222"/>
        </w:rPr>
        <w:t>-</w:t>
      </w:r>
      <w:proofErr w:type="gramStart"/>
      <w:r w:rsidRPr="00907688">
        <w:rPr>
          <w:rFonts w:ascii="Cambria" w:hAnsi="Cambria" w:cs="Segoe UI"/>
          <w:color w:val="222222"/>
        </w:rPr>
        <w:t>-</w:t>
      </w:r>
      <w:proofErr w:type="gramEnd"/>
      <w:r w:rsidRPr="00907688">
        <w:rPr>
          <w:rFonts w:ascii="Cambria" w:hAnsi="Cambria" w:cs="Segoe UI"/>
          <w:color w:val="222222"/>
        </w:rPr>
        <w:t xml:space="preserve"> </w:t>
      </w:r>
    </w:p>
    <w:p w:rsidR="00281AD5" w:rsidRPr="00907688" w:rsidRDefault="00281AD5" w:rsidP="00281AD5">
      <w:pPr>
        <w:shd w:val="clear" w:color="auto" w:fill="FFFFFF"/>
        <w:jc w:val="both"/>
        <w:rPr>
          <w:rFonts w:ascii="Cambria" w:hAnsi="Cambria" w:cs="Segoe UI"/>
          <w:color w:val="212121"/>
        </w:rPr>
      </w:pPr>
      <w:r w:rsidRPr="00907688">
        <w:rPr>
          <w:rFonts w:ascii="Cambria" w:hAnsi="Cambria" w:cs="Segoe UI"/>
          <w:color w:val="212121"/>
        </w:rPr>
        <w:t>Equipe LAPEQ</w:t>
      </w:r>
      <w:r w:rsidRPr="00907688">
        <w:rPr>
          <w:rFonts w:ascii="Cambria" w:hAnsi="Cambria" w:cs="Segoe UI"/>
          <w:color w:val="212121"/>
        </w:rPr>
        <w:br/>
      </w:r>
      <w:r w:rsidRPr="00907688">
        <w:rPr>
          <w:rFonts w:ascii="Cambria" w:hAnsi="Cambria" w:cs="Segoe UI"/>
          <w:i/>
          <w:iCs/>
          <w:color w:val="212121"/>
        </w:rPr>
        <w:t>Laboratório de Pesquisa em Ensino de Química e Tecnologias Educativas (LAPEQ)</w:t>
      </w:r>
      <w:r w:rsidRPr="00907688">
        <w:rPr>
          <w:rFonts w:ascii="Cambria" w:hAnsi="Cambria" w:cs="Segoe UI"/>
          <w:i/>
          <w:iCs/>
          <w:color w:val="212121"/>
        </w:rPr>
        <w:br/>
        <w:t>Faculdade de Educação da Universidade de São Paulo (FEUSP)</w:t>
      </w:r>
      <w:r w:rsidRPr="00907688">
        <w:rPr>
          <w:rFonts w:ascii="Cambria" w:hAnsi="Cambria" w:cs="Segoe UI"/>
          <w:i/>
          <w:iCs/>
          <w:color w:val="212121"/>
        </w:rPr>
        <w:br/>
        <w:t>Avenida da Universidade 308, Bloco B, Salas 01 e 04, CEP 05508-900, São Paulo - SP.</w:t>
      </w:r>
      <w:r w:rsidRPr="00907688">
        <w:rPr>
          <w:rFonts w:ascii="Cambria" w:hAnsi="Cambria" w:cs="Segoe UI"/>
          <w:i/>
          <w:iCs/>
          <w:color w:val="212121"/>
        </w:rPr>
        <w:br/>
      </w:r>
      <w:hyperlink r:id="rId6" w:tgtFrame="_blank" w:history="1">
        <w:r w:rsidRPr="00907688">
          <w:rPr>
            <w:rFonts w:ascii="Cambria" w:hAnsi="Cambria" w:cs="Segoe UI"/>
            <w:i/>
            <w:iCs/>
            <w:color w:val="1155CC"/>
            <w:u w:val="single"/>
          </w:rPr>
          <w:t>www.lapeq.fe.usp.br</w:t>
        </w:r>
      </w:hyperlink>
      <w:r w:rsidRPr="00907688">
        <w:rPr>
          <w:rFonts w:ascii="Cambria" w:hAnsi="Cambria" w:cs="Segoe UI"/>
          <w:i/>
          <w:iCs/>
          <w:color w:val="212121"/>
        </w:rPr>
        <w:br/>
      </w:r>
      <w:hyperlink r:id="rId7" w:tgtFrame="_blank" w:history="1">
        <w:r w:rsidRPr="00907688">
          <w:rPr>
            <w:rFonts w:ascii="Cambria" w:hAnsi="Cambria" w:cs="Segoe UI"/>
            <w:i/>
            <w:iCs/>
            <w:color w:val="1155CC"/>
            <w:u w:val="single"/>
          </w:rPr>
          <w:t>www.facebook.com/lapeq.feusp</w:t>
        </w:r>
      </w:hyperlink>
      <w:r w:rsidRPr="00907688">
        <w:rPr>
          <w:rFonts w:ascii="Cambria" w:hAnsi="Cambria" w:cs="Segoe UI"/>
          <w:i/>
          <w:iCs/>
          <w:color w:val="212121"/>
        </w:rPr>
        <w:br/>
        <w:t>Telefone:(0xx11) 3091-8290</w:t>
      </w:r>
    </w:p>
    <w:p w:rsidR="00550573" w:rsidRDefault="00550573">
      <w:bookmarkStart w:id="0" w:name="_GoBack"/>
      <w:bookmarkEnd w:id="0"/>
    </w:p>
    <w:sectPr w:rsidR="0055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5"/>
    <w:rsid w:val="00281AD5"/>
    <w:rsid w:val="00550573"/>
    <w:rsid w:val="00E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978D-8748-4D87-8A85-EFF4F677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apeq.feu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eq.fe.usp.br/" TargetMode="External"/><Relationship Id="rId5" Type="http://schemas.openxmlformats.org/officeDocument/2006/relationships/hyperlink" Target="http://usp.br/semanact/2017/" TargetMode="External"/><Relationship Id="rId4" Type="http://schemas.openxmlformats.org/officeDocument/2006/relationships/hyperlink" Target="http://usp.br/semanact/2017/evento/voce-sabe-o-que-tem-na-agua-do-corrego-pirajussara-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2017-10-02T15:14:00Z</dcterms:created>
  <dcterms:modified xsi:type="dcterms:W3CDTF">2017-10-02T15:14:00Z</dcterms:modified>
</cp:coreProperties>
</file>