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b/>
          <w:bCs/>
          <w:color w:val="212121"/>
        </w:rPr>
        <w:t>COMUNICADO CISE Nº 09/2017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color w:val="212121"/>
        </w:rPr>
        <w:t> 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b/>
          <w:bCs/>
          <w:color w:val="212121"/>
        </w:rPr>
        <w:t>A COORDENADORA DA COORDENADORIA DE INFRAESTRUTURA E SERVIÇOS ESCOLARES</w:t>
      </w:r>
      <w:r w:rsidRPr="00D14222">
        <w:rPr>
          <w:rFonts w:ascii="Cambria" w:hAnsi="Cambria" w:cs="Tahoma"/>
          <w:color w:val="212121"/>
        </w:rPr>
        <w:t>, orienta as Escolas e as Diretorias Regionais de Ensino, pertencentes a Gestão Centralizada do Programa de Alimentação Escolar – PAE, sobre os novos procedimentos para recebimento dos GÊNEROS ALIMENTÍCIOS PERECÍVEIS, caracterizados como Produtos de Entrega Direta – PED.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color w:val="212121"/>
        </w:rPr>
        <w:t>Os novos editais para futura e eventual aquisição de produtos perecíveis, foram revisados e atualizados, para garantir mais eficiência e controle no recebimento dos produtos pelas unidades escolares.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color w:val="212121"/>
        </w:rPr>
        <w:t>No intuito de evitar pagamento por entregas não realizadas, entregas realizadas fora do prazo e possíveis fraudes na execução dos contratos, alteramos os procedimentos de recebimento provisório e definitivo dos produtos, tendo em vista o grande volume de escolas pertencentes a Gestão Centralizada do PAE.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color w:val="212121"/>
        </w:rPr>
        <w:t>Neste sentido, ajustamos o SAESP para que as escolas e as Diretorias de Ensino atuem como fiscais dos contratos, utilizando o SAESP como ferramenta de registro e controle das entregas realizadas e não realizadas.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color w:val="212121"/>
        </w:rPr>
        <w:t>Assim, esclarecemos que os pagamentos aos fornecedores já estão condicionados ao CONTROLE DO RECEBIMENTO DOS PRODUTOS, confirmados por meio dos “registros das Guias de Remessa/Boletos”, no SAESP, devendo ser realizada pela direção da escola.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color w:val="212121"/>
        </w:rPr>
        <w:t>Caberá aos fornecedores emitir e apresentar no mínimo 02 (duas) vias da Guia de Remessa no ato da entrega dos produtos.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color w:val="212121"/>
        </w:rPr>
        <w:t>Os fornecedores deverão emitir e apresentar no ato da entrega dos produtos, no mínimo 02 (duas) vias da Guia de Remessa, no qual deverá conter o brasão do Governo, conforme o layout definido em edital, e constar todos os dados das escolas como: nome, endereço, Diretoria de Ensino, nome do produto, quantidade em quilos, lote e validade e outros.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color w:val="212121"/>
        </w:rPr>
        <w:t>Caberá ao servidor responsável pelo recebimento do produto na escola, conferir todos os dados das Guias no ato das entregas, observando o prazo de entrega, estando em conformidade, o servidor deverá assinar pelo recebimento do produto, nas 02 (duas) vias da Guia, sendo que uma deverá ficar com a escola e a outra com a empresa.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color w:val="212121"/>
        </w:rPr>
        <w:t>As escolas deverão manter suas Guias de Remessa devidamente guardada/arquivada por um período mínimo de 01 (um) ano.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color w:val="212121"/>
        </w:rPr>
        <w:t>As entregas serão realizadas de segunda a quarta-feira, salvo os feriados, para tanto, a direção da escola deverá registrar o recebimento do produto no SAESP em até </w:t>
      </w:r>
      <w:r w:rsidRPr="00D14222">
        <w:rPr>
          <w:rFonts w:ascii="Cambria" w:hAnsi="Cambria" w:cs="Tahoma"/>
          <w:b/>
          <w:bCs/>
          <w:color w:val="212121"/>
        </w:rPr>
        <w:t>02 (dois) dias</w:t>
      </w:r>
      <w:r w:rsidRPr="00D14222">
        <w:rPr>
          <w:rFonts w:ascii="Cambria" w:hAnsi="Cambria" w:cs="Tahoma"/>
          <w:color w:val="212121"/>
        </w:rPr>
        <w:t> </w:t>
      </w:r>
      <w:r w:rsidRPr="00D14222">
        <w:rPr>
          <w:rFonts w:ascii="Cambria" w:hAnsi="Cambria" w:cs="Tahoma"/>
          <w:b/>
          <w:bCs/>
          <w:color w:val="212121"/>
        </w:rPr>
        <w:t>úteis</w:t>
      </w:r>
      <w:r w:rsidRPr="00D14222">
        <w:rPr>
          <w:rFonts w:ascii="Cambria" w:hAnsi="Cambria" w:cs="Tahoma"/>
          <w:color w:val="212121"/>
        </w:rPr>
        <w:t>, após a data final da entrega.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color w:val="212121"/>
        </w:rPr>
        <w:t xml:space="preserve">Os registros das Guias de Remessa deverão ser </w:t>
      </w:r>
      <w:proofErr w:type="gramStart"/>
      <w:r w:rsidRPr="00D14222">
        <w:rPr>
          <w:rFonts w:ascii="Cambria" w:hAnsi="Cambria" w:cs="Tahoma"/>
          <w:color w:val="212121"/>
        </w:rPr>
        <w:t>acompanhadas</w:t>
      </w:r>
      <w:proofErr w:type="gramEnd"/>
      <w:r w:rsidRPr="00D14222">
        <w:rPr>
          <w:rFonts w:ascii="Cambria" w:hAnsi="Cambria" w:cs="Tahoma"/>
          <w:color w:val="212121"/>
        </w:rPr>
        <w:t xml:space="preserve"> periodicamente pelas Diretorias de Ensino correspondentes às unidades escolares, por meio de tela de gerenciamento disponível para “consulta situação das Guias de Remessa/Boletos de PED’S”.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color w:val="212121"/>
        </w:rPr>
        <w:t>Nos casos em que as escolas não receberam os produtos que lhe eram devidos, naquela semana, a Diretoria de Ensino, deverá informar o nº da Guia de Remessa, para que a unidade registre no sistema o NÃO RECEBIMENTO DO PRODUTO, informando em campo próprio o motivo.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color w:val="212121"/>
        </w:rPr>
        <w:t xml:space="preserve">Após a conferência dos registros das Guias de Remessa entregues e/ou não entregues, caberá ás Diretorias de Ensino emitir os Atestados de Recebimento Provisórios dos produtos que foram efetivamente entregues em suas unidades, só </w:t>
      </w:r>
      <w:r w:rsidRPr="00D14222">
        <w:rPr>
          <w:rFonts w:ascii="Cambria" w:hAnsi="Cambria" w:cs="Tahoma"/>
          <w:color w:val="212121"/>
        </w:rPr>
        <w:lastRenderedPageBreak/>
        <w:t>então, o Departamento de Alimentação e Assistência ao Aluno-DAAA, poderá emitir os Atestados de Recebimento Definitivo, por meio do SAESP.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color w:val="212121"/>
        </w:rPr>
        <w:t>As unidades escolares e as Diretorias Regionais de Ensino são CORRESPONSÁVEIS PELA EXECUÇÃO DOS CONTRATOS DE AQUISIÇÃO DE GÊNEROS COM ENTREGA DIRETA, e que não há outra maneira de efetuar os pagamentos devidos aos fornecedores, se as escolas não registrarem as Guias de Remessa no sistema e se as Diretorias de Ensino emitirem os Atestados De Recebimento Provisório, o SAESP não irá liberar a emissão do Atestado de Recebimento Definitivo da Nota Fiscal.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color w:val="212121"/>
        </w:rPr>
        <w:t xml:space="preserve">Cabe salientar que não poderá haver atraso nos pagamentos das Notas Fiscais, portanto, se por ventura for constatado que houve falha por parte </w:t>
      </w:r>
      <w:proofErr w:type="gramStart"/>
      <w:r w:rsidRPr="00D14222">
        <w:rPr>
          <w:rFonts w:ascii="Cambria" w:hAnsi="Cambria" w:cs="Tahoma"/>
          <w:color w:val="212121"/>
        </w:rPr>
        <w:t>do(</w:t>
      </w:r>
      <w:proofErr w:type="gramEnd"/>
      <w:r w:rsidRPr="00D14222">
        <w:rPr>
          <w:rFonts w:ascii="Cambria" w:hAnsi="Cambria" w:cs="Tahoma"/>
          <w:color w:val="212121"/>
        </w:rPr>
        <w:t>s) servidor(es) da(s) escola(s) ou da(s) Diretoria(s) de Ensino, com relação aos registros das Guias, pelo recebimento ou não recebimento, os mesmos arcarão com as multas por atraso nos pagamentos.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color w:val="212121"/>
        </w:rPr>
        <w:t>Assim, solicitamos que cumpram os prazos de registro das Guias e a emissão de atestados provisórios no SAESP.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color w:val="212121"/>
        </w:rPr>
        <w:t>No mais, encontram-se disponíveis no próprio SAESP, manuais que orientam as escolas e as Diretorias de Ensino, a como executar essas tarefas no sistema.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color w:val="212121"/>
        </w:rPr>
        <w:t>Segue para conhecimento parte do Termo de Referência, parte integrante dos editais e dos contratos, no qual discrimina os procedimentos para efeito de pagamento.</w:t>
      </w:r>
    </w:p>
    <w:p w:rsidR="00A24CF0" w:rsidRPr="00D14222" w:rsidRDefault="00A24CF0" w:rsidP="00A24CF0">
      <w:pPr>
        <w:shd w:val="clear" w:color="auto" w:fill="FFFFFF"/>
        <w:ind w:firstLine="567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b/>
          <w:bCs/>
          <w:color w:val="212121"/>
        </w:rPr>
        <w:t>XIII -</w:t>
      </w:r>
      <w:r w:rsidRPr="00D14222">
        <w:rPr>
          <w:rFonts w:ascii="Cambria" w:hAnsi="Cambria" w:cs="Tahoma"/>
          <w:color w:val="212121"/>
        </w:rPr>
        <w:t> </w:t>
      </w:r>
      <w:r w:rsidRPr="00D14222">
        <w:rPr>
          <w:rFonts w:ascii="Cambria" w:hAnsi="Cambria" w:cs="Tahoma"/>
          <w:b/>
          <w:bCs/>
          <w:color w:val="212121"/>
        </w:rPr>
        <w:t>PROCEDIMENTO PARA EFEITO DE PAGAMENTO, </w:t>
      </w:r>
      <w:r w:rsidRPr="00D14222">
        <w:rPr>
          <w:rFonts w:ascii="Cambria" w:hAnsi="Cambria" w:cs="Tahoma"/>
          <w:color w:val="212121"/>
        </w:rPr>
        <w:t>como segue: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b/>
          <w:bCs/>
          <w:i/>
          <w:iCs/>
          <w:color w:val="212121"/>
        </w:rPr>
        <w:t>“13.1 </w:t>
      </w:r>
      <w:r w:rsidRPr="00D14222">
        <w:rPr>
          <w:rFonts w:ascii="Cambria" w:hAnsi="Cambria" w:cs="Tahoma"/>
          <w:i/>
          <w:iCs/>
          <w:color w:val="212121"/>
        </w:rPr>
        <w:t>Para as entregas dos produtos, a Contratada deverá emitir </w:t>
      </w:r>
      <w:r w:rsidRPr="00D14222">
        <w:rPr>
          <w:rFonts w:ascii="Cambria" w:hAnsi="Cambria" w:cs="Tahoma"/>
          <w:b/>
          <w:bCs/>
          <w:i/>
          <w:iCs/>
          <w:color w:val="212121"/>
        </w:rPr>
        <w:t>02 (duas)</w:t>
      </w:r>
      <w:r w:rsidRPr="00D14222">
        <w:rPr>
          <w:rFonts w:ascii="Cambria" w:hAnsi="Cambria" w:cs="Tahoma"/>
          <w:i/>
          <w:iCs/>
          <w:color w:val="212121"/>
        </w:rPr>
        <w:t xml:space="preserve"> vias </w:t>
      </w:r>
      <w:proofErr w:type="spellStart"/>
      <w:r w:rsidRPr="00D14222">
        <w:rPr>
          <w:rFonts w:ascii="Cambria" w:hAnsi="Cambria" w:cs="Tahoma"/>
          <w:i/>
          <w:iCs/>
          <w:color w:val="212121"/>
        </w:rPr>
        <w:t>de</w:t>
      </w:r>
      <w:r w:rsidRPr="00D14222">
        <w:rPr>
          <w:rFonts w:ascii="Cambria" w:hAnsi="Cambria" w:cs="Tahoma"/>
          <w:b/>
          <w:bCs/>
          <w:i/>
          <w:iCs/>
          <w:color w:val="212121"/>
        </w:rPr>
        <w:t>Guias</w:t>
      </w:r>
      <w:proofErr w:type="spellEnd"/>
      <w:r w:rsidRPr="00D14222">
        <w:rPr>
          <w:rFonts w:ascii="Cambria" w:hAnsi="Cambria" w:cs="Tahoma"/>
          <w:b/>
          <w:bCs/>
          <w:i/>
          <w:iCs/>
          <w:color w:val="212121"/>
        </w:rPr>
        <w:t xml:space="preserve"> de Remessa-GR,</w:t>
      </w:r>
      <w:r w:rsidRPr="00D14222">
        <w:rPr>
          <w:rFonts w:ascii="Cambria" w:hAnsi="Cambria" w:cs="Tahoma"/>
          <w:i/>
          <w:iCs/>
          <w:color w:val="212121"/>
        </w:rPr>
        <w:t> obrigatoriamente emitido pelo SAESPII, conforme o </w:t>
      </w:r>
      <w:r w:rsidRPr="00D14222">
        <w:rPr>
          <w:rFonts w:ascii="Cambria" w:hAnsi="Cambria" w:cs="Tahoma"/>
          <w:b/>
          <w:bCs/>
          <w:i/>
          <w:iCs/>
          <w:color w:val="212121"/>
        </w:rPr>
        <w:t>ADENDO I–D</w:t>
      </w:r>
      <w:r w:rsidRPr="00D14222">
        <w:rPr>
          <w:rFonts w:ascii="Cambria" w:hAnsi="Cambria" w:cs="Tahoma"/>
          <w:i/>
          <w:iCs/>
          <w:color w:val="212121"/>
        </w:rPr>
        <w:t> - GUIA DE REMESSA – GR.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b/>
          <w:bCs/>
          <w:i/>
          <w:iCs/>
          <w:color w:val="212121"/>
        </w:rPr>
        <w:t>13.1.1</w:t>
      </w:r>
      <w:r w:rsidRPr="00D14222">
        <w:rPr>
          <w:rFonts w:ascii="Cambria" w:hAnsi="Cambria" w:cs="Tahoma"/>
          <w:i/>
          <w:iCs/>
          <w:color w:val="212121"/>
        </w:rPr>
        <w:t> A Contratada deverá “consumir” o serviço para obter a GR oficial da Secretaria via Contratante “SAESPII”, constando os dados do item </w:t>
      </w:r>
      <w:r w:rsidRPr="00D14222">
        <w:rPr>
          <w:rFonts w:ascii="Cambria" w:hAnsi="Cambria" w:cs="Tahoma"/>
          <w:b/>
          <w:bCs/>
          <w:i/>
          <w:iCs/>
          <w:color w:val="212121"/>
        </w:rPr>
        <w:t>12.4.1 mais o lote e validade </w:t>
      </w:r>
      <w:r w:rsidRPr="00D14222">
        <w:rPr>
          <w:rFonts w:ascii="Cambria" w:hAnsi="Cambria" w:cs="Tahoma"/>
          <w:i/>
          <w:iCs/>
          <w:color w:val="212121"/>
        </w:rPr>
        <w:t>por unidade escolar, sendo que uma via deverá ficar em poder da unidade escolar, a outra em poder da contratada</w:t>
      </w:r>
      <w:r w:rsidRPr="00D14222">
        <w:rPr>
          <w:rFonts w:ascii="Cambria" w:hAnsi="Cambria" w:cs="Tahoma"/>
          <w:b/>
          <w:bCs/>
          <w:i/>
          <w:iCs/>
          <w:color w:val="212121"/>
        </w:rPr>
        <w:t>.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b/>
          <w:bCs/>
          <w:i/>
          <w:iCs/>
          <w:color w:val="212121"/>
        </w:rPr>
        <w:t> 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proofErr w:type="gramStart"/>
      <w:r w:rsidRPr="00D14222">
        <w:rPr>
          <w:rFonts w:ascii="Cambria" w:hAnsi="Cambria" w:cs="Tahoma"/>
          <w:b/>
          <w:bCs/>
          <w:i/>
          <w:iCs/>
          <w:color w:val="212121"/>
        </w:rPr>
        <w:t>13.2  </w:t>
      </w:r>
      <w:r w:rsidRPr="00D14222">
        <w:rPr>
          <w:rFonts w:ascii="Cambria" w:hAnsi="Cambria" w:cs="Tahoma"/>
          <w:i/>
          <w:iCs/>
          <w:color w:val="212121"/>
        </w:rPr>
        <w:t>No</w:t>
      </w:r>
      <w:proofErr w:type="gramEnd"/>
      <w:r w:rsidRPr="00D14222">
        <w:rPr>
          <w:rFonts w:ascii="Cambria" w:hAnsi="Cambria" w:cs="Tahoma"/>
          <w:i/>
          <w:iCs/>
          <w:color w:val="212121"/>
        </w:rPr>
        <w:t xml:space="preserve"> ato das entregas, a contratada apresentará as 02 (duas) vias da GR para colher os seguintes dados do servidor responsável pelo recebimento dos produtos: data do recebimento, nome legível, assinatura, cargo e o número do Registro Geral (RG), emitido pela Secretaria de Segurança Pública do servidor, bem como, o carimbo de identificação da unidade escolar receptora.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proofErr w:type="gramStart"/>
      <w:r w:rsidRPr="00D14222">
        <w:rPr>
          <w:rFonts w:ascii="Cambria" w:hAnsi="Cambria" w:cs="Tahoma"/>
          <w:b/>
          <w:bCs/>
          <w:i/>
          <w:iCs/>
          <w:color w:val="212121"/>
        </w:rPr>
        <w:t>13.2.1</w:t>
      </w:r>
      <w:r w:rsidRPr="00D14222">
        <w:rPr>
          <w:rFonts w:ascii="Cambria" w:hAnsi="Cambria" w:cs="Tahoma"/>
          <w:i/>
          <w:iCs/>
          <w:color w:val="212121"/>
        </w:rPr>
        <w:t> Deverão</w:t>
      </w:r>
      <w:proofErr w:type="gramEnd"/>
      <w:r w:rsidRPr="00D14222">
        <w:rPr>
          <w:rFonts w:ascii="Cambria" w:hAnsi="Cambria" w:cs="Tahoma"/>
          <w:i/>
          <w:iCs/>
          <w:color w:val="212121"/>
        </w:rPr>
        <w:t xml:space="preserve"> constar nas </w:t>
      </w:r>
      <w:proofErr w:type="spellStart"/>
      <w:r w:rsidRPr="00D14222">
        <w:rPr>
          <w:rFonts w:ascii="Cambria" w:hAnsi="Cambria" w:cs="Tahoma"/>
          <w:i/>
          <w:iCs/>
          <w:color w:val="212121"/>
        </w:rPr>
        <w:t>GR’s</w:t>
      </w:r>
      <w:proofErr w:type="spellEnd"/>
      <w:r w:rsidRPr="00D14222">
        <w:rPr>
          <w:rFonts w:ascii="Cambria" w:hAnsi="Cambria" w:cs="Tahoma"/>
          <w:i/>
          <w:iCs/>
          <w:color w:val="212121"/>
        </w:rPr>
        <w:t>, todos os dados constantes no item 13.2, devendo ser preenchido com a mesma caneta (preta ou azul) e sem rasuras. Não devendo apresentar qualquer indício de adulteração.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proofErr w:type="gramStart"/>
      <w:r w:rsidRPr="00D14222">
        <w:rPr>
          <w:rFonts w:ascii="Cambria" w:hAnsi="Cambria" w:cs="Tahoma"/>
          <w:b/>
          <w:bCs/>
          <w:i/>
          <w:iCs/>
          <w:color w:val="212121"/>
        </w:rPr>
        <w:t>13.2.2</w:t>
      </w:r>
      <w:r w:rsidRPr="00D14222">
        <w:rPr>
          <w:rFonts w:ascii="Cambria" w:hAnsi="Cambria" w:cs="Tahoma"/>
          <w:i/>
          <w:iCs/>
          <w:color w:val="212121"/>
        </w:rPr>
        <w:t> Constatado</w:t>
      </w:r>
      <w:proofErr w:type="gramEnd"/>
      <w:r w:rsidRPr="00D14222">
        <w:rPr>
          <w:rFonts w:ascii="Cambria" w:hAnsi="Cambria" w:cs="Tahoma"/>
          <w:i/>
          <w:iCs/>
          <w:color w:val="212121"/>
        </w:rPr>
        <w:t xml:space="preserve"> qualquer tipo de adulteração ou falsificação nas </w:t>
      </w:r>
      <w:proofErr w:type="spellStart"/>
      <w:r w:rsidRPr="00D14222">
        <w:rPr>
          <w:rFonts w:ascii="Cambria" w:hAnsi="Cambria" w:cs="Tahoma"/>
          <w:i/>
          <w:iCs/>
          <w:color w:val="212121"/>
        </w:rPr>
        <w:t>GR’s</w:t>
      </w:r>
      <w:proofErr w:type="spellEnd"/>
      <w:r w:rsidRPr="00D14222">
        <w:rPr>
          <w:rFonts w:ascii="Cambria" w:hAnsi="Cambria" w:cs="Tahoma"/>
          <w:i/>
          <w:iCs/>
          <w:color w:val="212121"/>
        </w:rPr>
        <w:t>, o caso será passível de apuração, e se verificado a responsabilidade da Contratada, Esta estará sujeita a multas e sanções previstas em lei, bem como a responder processo criminal.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proofErr w:type="gramStart"/>
      <w:r w:rsidRPr="00D14222">
        <w:rPr>
          <w:rFonts w:ascii="Cambria" w:hAnsi="Cambria" w:cs="Tahoma"/>
          <w:b/>
          <w:bCs/>
          <w:i/>
          <w:iCs/>
          <w:color w:val="212121"/>
        </w:rPr>
        <w:t>13.2.3</w:t>
      </w:r>
      <w:r w:rsidRPr="00D14222">
        <w:rPr>
          <w:rFonts w:ascii="Cambria" w:hAnsi="Cambria" w:cs="Tahoma"/>
          <w:i/>
          <w:iCs/>
          <w:color w:val="212121"/>
        </w:rPr>
        <w:t> No</w:t>
      </w:r>
      <w:proofErr w:type="gramEnd"/>
      <w:r w:rsidRPr="00D14222">
        <w:rPr>
          <w:rFonts w:ascii="Cambria" w:hAnsi="Cambria" w:cs="Tahoma"/>
          <w:i/>
          <w:iCs/>
          <w:color w:val="212121"/>
        </w:rPr>
        <w:t xml:space="preserve"> caso de qualquer divergência de dados da GR, seja de produtos e/ou quantidades entregues, as anotações deverão ser feitas na própria GR, pelo servidor responsável pelo recebimento dos produtos.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b/>
          <w:bCs/>
          <w:i/>
          <w:iCs/>
          <w:color w:val="212121"/>
        </w:rPr>
        <w:t> 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proofErr w:type="gramStart"/>
      <w:r w:rsidRPr="00D14222">
        <w:rPr>
          <w:rFonts w:ascii="Cambria" w:hAnsi="Cambria" w:cs="Tahoma"/>
          <w:b/>
          <w:bCs/>
          <w:i/>
          <w:iCs/>
          <w:color w:val="212121"/>
        </w:rPr>
        <w:t>13.3</w:t>
      </w:r>
      <w:r w:rsidRPr="00D14222">
        <w:rPr>
          <w:rFonts w:ascii="Cambria" w:hAnsi="Cambria" w:cs="Tahoma"/>
          <w:i/>
          <w:iCs/>
          <w:color w:val="212121"/>
        </w:rPr>
        <w:t> Para</w:t>
      </w:r>
      <w:proofErr w:type="gramEnd"/>
      <w:r w:rsidRPr="00D14222">
        <w:rPr>
          <w:rFonts w:ascii="Cambria" w:hAnsi="Cambria" w:cs="Tahoma"/>
          <w:i/>
          <w:iCs/>
          <w:color w:val="212121"/>
        </w:rPr>
        <w:t xml:space="preserve"> contabilização das </w:t>
      </w:r>
      <w:proofErr w:type="spellStart"/>
      <w:r w:rsidRPr="00D14222">
        <w:rPr>
          <w:rFonts w:ascii="Cambria" w:hAnsi="Cambria" w:cs="Tahoma"/>
          <w:i/>
          <w:iCs/>
          <w:color w:val="212121"/>
        </w:rPr>
        <w:t>GR’s</w:t>
      </w:r>
      <w:proofErr w:type="spellEnd"/>
      <w:r w:rsidRPr="00D14222">
        <w:rPr>
          <w:rFonts w:ascii="Cambria" w:hAnsi="Cambria" w:cs="Tahoma"/>
          <w:i/>
          <w:iCs/>
          <w:color w:val="212121"/>
        </w:rPr>
        <w:t xml:space="preserve"> no SAESPII, a contratada deverá enviar um </w:t>
      </w:r>
      <w:proofErr w:type="spellStart"/>
      <w:r w:rsidRPr="00D14222">
        <w:rPr>
          <w:rFonts w:ascii="Cambria" w:hAnsi="Cambria" w:cs="Tahoma"/>
          <w:i/>
          <w:iCs/>
          <w:color w:val="212121"/>
        </w:rPr>
        <w:t>segundo</w:t>
      </w:r>
      <w:r w:rsidRPr="00D14222">
        <w:rPr>
          <w:rFonts w:ascii="Cambria" w:hAnsi="Cambria" w:cs="Tahoma"/>
          <w:b/>
          <w:bCs/>
          <w:i/>
          <w:iCs/>
          <w:color w:val="212121"/>
        </w:rPr>
        <w:t>Relatório</w:t>
      </w:r>
      <w:proofErr w:type="spellEnd"/>
      <w:r w:rsidRPr="00D14222">
        <w:rPr>
          <w:rFonts w:ascii="Cambria" w:hAnsi="Cambria" w:cs="Tahoma"/>
          <w:b/>
          <w:bCs/>
          <w:i/>
          <w:iCs/>
          <w:color w:val="212121"/>
        </w:rPr>
        <w:t xml:space="preserve"> Devolutivo</w:t>
      </w:r>
      <w:r w:rsidRPr="00D14222">
        <w:rPr>
          <w:rFonts w:ascii="Cambria" w:hAnsi="Cambria" w:cs="Tahoma"/>
          <w:i/>
          <w:iCs/>
          <w:color w:val="212121"/>
        </w:rPr>
        <w:t xml:space="preserve">, por meio de comunicação webservice, vinculando os dados </w:t>
      </w:r>
      <w:proofErr w:type="spellStart"/>
      <w:r w:rsidRPr="00D14222">
        <w:rPr>
          <w:rFonts w:ascii="Cambria" w:hAnsi="Cambria" w:cs="Tahoma"/>
          <w:i/>
          <w:iCs/>
          <w:color w:val="212121"/>
        </w:rPr>
        <w:t>das</w:t>
      </w:r>
      <w:r w:rsidRPr="00D14222">
        <w:rPr>
          <w:rFonts w:ascii="Cambria" w:hAnsi="Cambria" w:cs="Tahoma"/>
          <w:b/>
          <w:bCs/>
          <w:i/>
          <w:iCs/>
          <w:color w:val="212121"/>
        </w:rPr>
        <w:t>Notas</w:t>
      </w:r>
      <w:proofErr w:type="spellEnd"/>
      <w:r w:rsidRPr="00D14222">
        <w:rPr>
          <w:rFonts w:ascii="Cambria" w:hAnsi="Cambria" w:cs="Tahoma"/>
          <w:b/>
          <w:bCs/>
          <w:i/>
          <w:iCs/>
          <w:color w:val="212121"/>
        </w:rPr>
        <w:t xml:space="preserve"> Fiscais, em formato </w:t>
      </w:r>
      <w:proofErr w:type="spellStart"/>
      <w:r w:rsidRPr="00D14222">
        <w:rPr>
          <w:rFonts w:ascii="Cambria" w:hAnsi="Cambria" w:cs="Tahoma"/>
          <w:b/>
          <w:bCs/>
          <w:i/>
          <w:iCs/>
          <w:color w:val="212121"/>
        </w:rPr>
        <w:t>xml</w:t>
      </w:r>
      <w:proofErr w:type="spellEnd"/>
      <w:r w:rsidRPr="00D14222">
        <w:rPr>
          <w:rFonts w:ascii="Cambria" w:hAnsi="Cambria" w:cs="Tahoma"/>
          <w:b/>
          <w:bCs/>
          <w:i/>
          <w:iCs/>
          <w:color w:val="212121"/>
        </w:rPr>
        <w:t>.</w:t>
      </w:r>
      <w:r w:rsidRPr="00D14222">
        <w:rPr>
          <w:rFonts w:ascii="Cambria" w:hAnsi="Cambria" w:cs="Tahoma"/>
          <w:i/>
          <w:iCs/>
          <w:color w:val="212121"/>
        </w:rPr>
        <w:t> </w:t>
      </w:r>
      <w:proofErr w:type="gramStart"/>
      <w:r w:rsidRPr="00D14222">
        <w:rPr>
          <w:rFonts w:ascii="Cambria" w:hAnsi="Cambria" w:cs="Tahoma"/>
          <w:i/>
          <w:iCs/>
          <w:color w:val="212121"/>
        </w:rPr>
        <w:t>ao</w:t>
      </w:r>
      <w:proofErr w:type="gramEnd"/>
      <w:r w:rsidRPr="00D14222">
        <w:rPr>
          <w:rFonts w:ascii="Cambria" w:hAnsi="Cambria" w:cs="Tahoma"/>
          <w:i/>
          <w:iCs/>
          <w:color w:val="212121"/>
        </w:rPr>
        <w:t xml:space="preserve"> dados das Guias de Remessa, com até </w:t>
      </w:r>
      <w:r w:rsidRPr="00D14222">
        <w:rPr>
          <w:rFonts w:ascii="Cambria" w:hAnsi="Cambria" w:cs="Tahoma"/>
          <w:b/>
          <w:bCs/>
          <w:i/>
          <w:iCs/>
          <w:color w:val="212121"/>
        </w:rPr>
        <w:t>01 (um)</w:t>
      </w:r>
      <w:r w:rsidRPr="00D14222">
        <w:rPr>
          <w:rFonts w:ascii="Cambria" w:hAnsi="Cambria" w:cs="Tahoma"/>
          <w:i/>
          <w:iCs/>
          <w:color w:val="212121"/>
        </w:rPr>
        <w:t>dia útil, depois das entregas dos produtos nas unidades escolares.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proofErr w:type="gramStart"/>
      <w:r w:rsidRPr="00D14222">
        <w:rPr>
          <w:rFonts w:ascii="Cambria" w:hAnsi="Cambria" w:cs="Tahoma"/>
          <w:b/>
          <w:bCs/>
          <w:i/>
          <w:iCs/>
          <w:color w:val="212121"/>
        </w:rPr>
        <w:lastRenderedPageBreak/>
        <w:t>13.3.1</w:t>
      </w:r>
      <w:r w:rsidRPr="00D14222">
        <w:rPr>
          <w:rFonts w:ascii="Cambria" w:hAnsi="Cambria" w:cs="Tahoma"/>
          <w:i/>
          <w:iCs/>
          <w:color w:val="212121"/>
        </w:rPr>
        <w:t> Os</w:t>
      </w:r>
      <w:proofErr w:type="gramEnd"/>
      <w:r w:rsidRPr="00D14222">
        <w:rPr>
          <w:rFonts w:ascii="Cambria" w:hAnsi="Cambria" w:cs="Tahoma"/>
          <w:i/>
          <w:iCs/>
          <w:color w:val="212121"/>
        </w:rPr>
        <w:t xml:space="preserve"> dados das Notas Fiscais de Venda serão necessário para emissão de Atestado de Recebimento Provisório, condicionante à continuidade dos trâmites de pagamento da Contratante.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b/>
          <w:bCs/>
          <w:i/>
          <w:iCs/>
          <w:color w:val="212121"/>
        </w:rPr>
        <w:t> 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proofErr w:type="gramStart"/>
      <w:r w:rsidRPr="00D14222">
        <w:rPr>
          <w:rFonts w:ascii="Cambria" w:hAnsi="Cambria" w:cs="Tahoma"/>
          <w:b/>
          <w:bCs/>
          <w:i/>
          <w:iCs/>
          <w:color w:val="212121"/>
        </w:rPr>
        <w:t>13.4</w:t>
      </w:r>
      <w:r w:rsidRPr="00D14222">
        <w:rPr>
          <w:rFonts w:ascii="Cambria" w:hAnsi="Cambria" w:cs="Tahoma"/>
          <w:i/>
          <w:iCs/>
          <w:color w:val="212121"/>
        </w:rPr>
        <w:t> Os</w:t>
      </w:r>
      <w:proofErr w:type="gramEnd"/>
      <w:r w:rsidRPr="00D14222">
        <w:rPr>
          <w:rFonts w:ascii="Cambria" w:hAnsi="Cambria" w:cs="Tahoma"/>
          <w:i/>
          <w:iCs/>
          <w:color w:val="212121"/>
        </w:rPr>
        <w:t xml:space="preserve"> servidores das unidades escolares serão os responsáveis pelo recebimento dos produtos, devendo lançar as </w:t>
      </w:r>
      <w:proofErr w:type="spellStart"/>
      <w:r w:rsidRPr="00D14222">
        <w:rPr>
          <w:rFonts w:ascii="Cambria" w:hAnsi="Cambria" w:cs="Tahoma"/>
          <w:i/>
          <w:iCs/>
          <w:color w:val="212121"/>
        </w:rPr>
        <w:t>GR’s</w:t>
      </w:r>
      <w:proofErr w:type="spellEnd"/>
      <w:r w:rsidRPr="00D14222">
        <w:rPr>
          <w:rFonts w:ascii="Cambria" w:hAnsi="Cambria" w:cs="Tahoma"/>
          <w:i/>
          <w:iCs/>
          <w:color w:val="212121"/>
        </w:rPr>
        <w:t xml:space="preserve"> em até </w:t>
      </w:r>
      <w:r w:rsidRPr="00D14222">
        <w:rPr>
          <w:rFonts w:ascii="Cambria" w:hAnsi="Cambria" w:cs="Tahoma"/>
          <w:b/>
          <w:bCs/>
          <w:i/>
          <w:iCs/>
          <w:color w:val="212121"/>
        </w:rPr>
        <w:t>02 (dois)</w:t>
      </w:r>
      <w:r w:rsidRPr="00D14222">
        <w:rPr>
          <w:rFonts w:ascii="Cambria" w:hAnsi="Cambria" w:cs="Tahoma"/>
          <w:i/>
          <w:iCs/>
          <w:color w:val="212121"/>
        </w:rPr>
        <w:t xml:space="preserve"> dias úteis, após a data da final de entrega, as </w:t>
      </w:r>
      <w:proofErr w:type="spellStart"/>
      <w:r w:rsidRPr="00D14222">
        <w:rPr>
          <w:rFonts w:ascii="Cambria" w:hAnsi="Cambria" w:cs="Tahoma"/>
          <w:i/>
          <w:iCs/>
          <w:color w:val="212121"/>
        </w:rPr>
        <w:t>GR’s</w:t>
      </w:r>
      <w:proofErr w:type="spellEnd"/>
      <w:r w:rsidRPr="00D14222">
        <w:rPr>
          <w:rFonts w:ascii="Cambria" w:hAnsi="Cambria" w:cs="Tahoma"/>
          <w:i/>
          <w:iCs/>
          <w:color w:val="212121"/>
        </w:rPr>
        <w:t xml:space="preserve"> no SAESPII, observando o tipo de produto, quantidades, lotes e validades que efetivamente foram entregues naquela unidade escolar.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b/>
          <w:bCs/>
          <w:i/>
          <w:iCs/>
          <w:color w:val="212121"/>
        </w:rPr>
        <w:t>13.4.1</w:t>
      </w:r>
      <w:r w:rsidRPr="00D14222">
        <w:rPr>
          <w:rFonts w:ascii="Cambria" w:hAnsi="Cambria" w:cs="Tahoma"/>
          <w:i/>
          <w:iCs/>
          <w:color w:val="212121"/>
        </w:rPr>
        <w:t> Caberá as Diretorias de Ensino, fiscalizar as entregas dos produtos nas unidades escolares, verificando se: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i/>
          <w:iCs/>
          <w:color w:val="212121"/>
        </w:rPr>
        <w:t xml:space="preserve">a) todas as entregas programadas foram entregues, conforme as datas estabelecidas nas </w:t>
      </w:r>
      <w:proofErr w:type="spellStart"/>
      <w:r w:rsidRPr="00D14222">
        <w:rPr>
          <w:rFonts w:ascii="Cambria" w:hAnsi="Cambria" w:cs="Tahoma"/>
          <w:i/>
          <w:iCs/>
          <w:color w:val="212121"/>
        </w:rPr>
        <w:t>GR’s</w:t>
      </w:r>
      <w:proofErr w:type="spellEnd"/>
      <w:r w:rsidRPr="00D14222">
        <w:rPr>
          <w:rFonts w:ascii="Cambria" w:hAnsi="Cambria" w:cs="Tahoma"/>
          <w:i/>
          <w:iCs/>
          <w:color w:val="212121"/>
        </w:rPr>
        <w:t>; b) volume de entregas não realizadas;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i/>
          <w:iCs/>
          <w:color w:val="212121"/>
        </w:rPr>
        <w:t>c) entregas realizadas sem lote e validade cadastrado no SAESPII, e;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i/>
          <w:iCs/>
          <w:color w:val="212121"/>
        </w:rPr>
        <w:t>d) recebimento de produtos que não atendam as especificações deste Termo de Referência.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b/>
          <w:bCs/>
          <w:i/>
          <w:iCs/>
          <w:color w:val="212121"/>
        </w:rPr>
        <w:t>13.4.2</w:t>
      </w:r>
      <w:r w:rsidRPr="00D14222">
        <w:rPr>
          <w:rFonts w:ascii="Cambria" w:hAnsi="Cambria" w:cs="Tahoma"/>
          <w:i/>
          <w:iCs/>
          <w:color w:val="212121"/>
        </w:rPr>
        <w:t> As Diretorias de Ensino irão relatar periodicamente ao DAAA/CENUT sobre as ocorrências citadas no subitem 13.4.1.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proofErr w:type="gramStart"/>
      <w:r w:rsidRPr="00D14222">
        <w:rPr>
          <w:rFonts w:ascii="Cambria" w:hAnsi="Cambria" w:cs="Tahoma"/>
          <w:b/>
          <w:bCs/>
          <w:i/>
          <w:iCs/>
          <w:color w:val="212121"/>
        </w:rPr>
        <w:t>13.4.3</w:t>
      </w:r>
      <w:r w:rsidRPr="00D14222">
        <w:rPr>
          <w:rFonts w:ascii="Cambria" w:hAnsi="Cambria" w:cs="Tahoma"/>
          <w:i/>
          <w:iCs/>
          <w:color w:val="212121"/>
        </w:rPr>
        <w:t> Após</w:t>
      </w:r>
      <w:proofErr w:type="gramEnd"/>
      <w:r w:rsidRPr="00D14222">
        <w:rPr>
          <w:rFonts w:ascii="Cambria" w:hAnsi="Cambria" w:cs="Tahoma"/>
          <w:i/>
          <w:iCs/>
          <w:color w:val="212121"/>
        </w:rPr>
        <w:t xml:space="preserve"> o lançamento das </w:t>
      </w:r>
      <w:proofErr w:type="spellStart"/>
      <w:r w:rsidRPr="00D14222">
        <w:rPr>
          <w:rFonts w:ascii="Cambria" w:hAnsi="Cambria" w:cs="Tahoma"/>
          <w:i/>
          <w:iCs/>
          <w:color w:val="212121"/>
        </w:rPr>
        <w:t>GR’s</w:t>
      </w:r>
      <w:proofErr w:type="spellEnd"/>
      <w:r w:rsidRPr="00D14222">
        <w:rPr>
          <w:rFonts w:ascii="Cambria" w:hAnsi="Cambria" w:cs="Tahoma"/>
          <w:i/>
          <w:iCs/>
          <w:color w:val="212121"/>
        </w:rPr>
        <w:t xml:space="preserve"> pela unidade escolar, caberá às Diretorias de Ensino emitir por meio do SAESPII os Atestados de Recebimento Provisório por Nota Fiscal de Venda a ser faturada.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i/>
          <w:iCs/>
          <w:color w:val="212121"/>
        </w:rPr>
        <w:t> 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proofErr w:type="gramStart"/>
      <w:r w:rsidRPr="00D14222">
        <w:rPr>
          <w:rFonts w:ascii="Cambria" w:hAnsi="Cambria" w:cs="Tahoma"/>
          <w:b/>
          <w:bCs/>
          <w:i/>
          <w:iCs/>
          <w:color w:val="212121"/>
        </w:rPr>
        <w:t>13.5</w:t>
      </w:r>
      <w:r w:rsidRPr="00D14222">
        <w:rPr>
          <w:rFonts w:ascii="Cambria" w:hAnsi="Cambria" w:cs="Tahoma"/>
          <w:i/>
          <w:iCs/>
          <w:color w:val="212121"/>
        </w:rPr>
        <w:t> Para</w:t>
      </w:r>
      <w:proofErr w:type="gramEnd"/>
      <w:r w:rsidRPr="00D14222">
        <w:rPr>
          <w:rFonts w:ascii="Cambria" w:hAnsi="Cambria" w:cs="Tahoma"/>
          <w:i/>
          <w:iCs/>
          <w:color w:val="212121"/>
        </w:rPr>
        <w:t xml:space="preserve"> pagamento a Contratada deverá enviar as Notas Fiscais de Venda, ao Protocolo da Secretaria da Educação, sito à na Praça da República, 53 – Centro – São Paulo/SP CEP 01045-903, endereçado ao DAAA/CENUT.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b/>
          <w:bCs/>
          <w:i/>
          <w:iCs/>
          <w:color w:val="212121"/>
        </w:rPr>
        <w:t>13.5.1</w:t>
      </w:r>
      <w:r w:rsidRPr="00D14222">
        <w:rPr>
          <w:rFonts w:ascii="Cambria" w:hAnsi="Cambria" w:cs="Tahoma"/>
          <w:i/>
          <w:iCs/>
          <w:color w:val="212121"/>
        </w:rPr>
        <w:t> O DAAA/CENUT fará o procedimento de emissão do Atestados de Recebimento Definitivo, mediante a confirmação das entregas nas unidades escolares e a emissão eletronicamente dos Atestados de Recebimento Provisório emitido por cada Diretoria de Ensino.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b/>
          <w:bCs/>
          <w:i/>
          <w:iCs/>
          <w:color w:val="212121"/>
        </w:rPr>
        <w:t> 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b/>
          <w:bCs/>
          <w:i/>
          <w:iCs/>
          <w:color w:val="212121"/>
        </w:rPr>
        <w:t>13.6 </w:t>
      </w:r>
      <w:r w:rsidRPr="00D14222">
        <w:rPr>
          <w:rFonts w:ascii="Cambria" w:hAnsi="Cambria" w:cs="Tahoma"/>
          <w:i/>
          <w:iCs/>
          <w:color w:val="212121"/>
        </w:rPr>
        <w:t>A cada emissão de Nota Fiscal de Venda, a Contratada deverá colocar no campo “Observação” da referida Nota, número da Ata de Registro de Preços e número do Contrato.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b/>
          <w:bCs/>
          <w:i/>
          <w:iCs/>
          <w:color w:val="212121"/>
        </w:rPr>
        <w:t> 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b/>
          <w:bCs/>
          <w:i/>
          <w:iCs/>
          <w:color w:val="212121"/>
        </w:rPr>
        <w:t>13.7</w:t>
      </w:r>
      <w:r w:rsidRPr="00D14222">
        <w:rPr>
          <w:rFonts w:ascii="Cambria" w:hAnsi="Cambria" w:cs="Tahoma"/>
          <w:i/>
          <w:iCs/>
          <w:color w:val="212121"/>
        </w:rPr>
        <w:t> A contratada deverá obedecer aos padrões de documentação e de processos internos da Contratante para controle das entregas, objetivando maior eficiência na apuração da quantidade e qualidade dos produtos entregues”.</w:t>
      </w:r>
    </w:p>
    <w:p w:rsidR="00A24CF0" w:rsidRPr="00D14222" w:rsidRDefault="00A24CF0" w:rsidP="00A24CF0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D14222">
        <w:rPr>
          <w:rFonts w:ascii="Cambria" w:hAnsi="Cambria" w:cs="Tahoma"/>
          <w:i/>
          <w:iCs/>
          <w:color w:val="212121"/>
        </w:rPr>
        <w:t> </w:t>
      </w:r>
    </w:p>
    <w:p w:rsidR="00550573" w:rsidRDefault="00550573">
      <w:bookmarkStart w:id="0" w:name="_GoBack"/>
      <w:bookmarkEnd w:id="0"/>
    </w:p>
    <w:sectPr w:rsidR="00550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F0"/>
    <w:rsid w:val="00550573"/>
    <w:rsid w:val="00A24CF0"/>
    <w:rsid w:val="00E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0DE3-06E1-442B-B4C0-28E56B76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1332</Words>
  <Characters>7199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1</cp:revision>
  <dcterms:created xsi:type="dcterms:W3CDTF">2017-09-19T13:57:00Z</dcterms:created>
  <dcterms:modified xsi:type="dcterms:W3CDTF">2017-09-19T13:59:00Z</dcterms:modified>
</cp:coreProperties>
</file>