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31" w:rsidRDefault="00BC2731" w:rsidP="00EA1419">
      <w:pPr>
        <w:jc w:val="both"/>
      </w:pPr>
    </w:p>
    <w:p w:rsidR="00AE30E8" w:rsidRDefault="00AE30E8" w:rsidP="00EA1419">
      <w:pPr>
        <w:jc w:val="both"/>
      </w:pPr>
      <w:bookmarkStart w:id="0" w:name="_GoBack"/>
      <w:bookmarkEnd w:id="0"/>
      <w:r w:rsidRPr="00AE30E8">
        <w:t>sábado, 18 de fevereiro de 2017 Diário Oficial Poder Executivo - Seção I São Paulo, 127 (34) – 29</w:t>
      </w:r>
    </w:p>
    <w:p w:rsidR="00AE30E8" w:rsidRDefault="00AE30E8" w:rsidP="00EA1419">
      <w:pPr>
        <w:jc w:val="both"/>
      </w:pPr>
    </w:p>
    <w:p w:rsidR="00AE30E8" w:rsidRDefault="00AE30E8" w:rsidP="00EA1419">
      <w:pPr>
        <w:jc w:val="both"/>
      </w:pPr>
    </w:p>
    <w:p w:rsidR="00AE30E8" w:rsidRDefault="00AE30E8" w:rsidP="00EA1419">
      <w:pPr>
        <w:jc w:val="both"/>
      </w:pPr>
      <w:r>
        <w:t>Resolução SE 12, de 17-2-2017</w:t>
      </w:r>
    </w:p>
    <w:p w:rsidR="00AE30E8" w:rsidRDefault="00AE30E8" w:rsidP="00EA1419">
      <w:pPr>
        <w:jc w:val="both"/>
      </w:pPr>
      <w:r>
        <w:t>Dispõe sobre módulo e movimentação dos integrantes</w:t>
      </w:r>
      <w:r w:rsidR="00276BCF">
        <w:t xml:space="preserve"> </w:t>
      </w:r>
      <w:r>
        <w:t>do Quadro de Apoio Escolar e do Quadro</w:t>
      </w:r>
      <w:r w:rsidR="00276BCF">
        <w:t xml:space="preserve"> </w:t>
      </w:r>
      <w:r>
        <w:t>da Secretaria da Educação, e dá providências</w:t>
      </w:r>
      <w:r w:rsidR="00276BCF">
        <w:t xml:space="preserve"> </w:t>
      </w:r>
      <w:r>
        <w:t>correlatas</w:t>
      </w:r>
    </w:p>
    <w:p w:rsidR="00AE30E8" w:rsidRDefault="00AE30E8" w:rsidP="00EA1419">
      <w:pPr>
        <w:jc w:val="both"/>
      </w:pPr>
      <w:r>
        <w:t>O Secretário da Educação, à vista do que dispõe a Lei Complementar</w:t>
      </w:r>
      <w:r w:rsidR="00276BCF">
        <w:t xml:space="preserve"> </w:t>
      </w:r>
      <w:r>
        <w:t>1.144, de 11-7-2011, que institui o Plano de Cargos,</w:t>
      </w:r>
      <w:r w:rsidR="00276BCF">
        <w:t xml:space="preserve"> </w:t>
      </w:r>
      <w:r>
        <w:t>Vencimentos e Salários para os integrantes do Quadro de Apoio</w:t>
      </w:r>
      <w:r w:rsidR="00276BCF">
        <w:t xml:space="preserve"> </w:t>
      </w:r>
      <w:r>
        <w:t>Escolar - QAE, bem como a legislação que regula e regulamenta</w:t>
      </w:r>
      <w:r w:rsidR="00276BCF">
        <w:t xml:space="preserve"> </w:t>
      </w:r>
      <w:r>
        <w:t>a movimentação dos integrantes do Quadro de Apoio Escolar</w:t>
      </w:r>
    </w:p>
    <w:p w:rsidR="00AE30E8" w:rsidRDefault="00AE30E8" w:rsidP="00EA1419">
      <w:pPr>
        <w:jc w:val="both"/>
      </w:pPr>
      <w:r>
        <w:t>- QAE e do Quadro da Secretaria da Educação - QSE, e considerando</w:t>
      </w:r>
      <w:r w:rsidR="00276BCF">
        <w:t xml:space="preserve"> </w:t>
      </w:r>
      <w:r>
        <w:t>a necessidade de alteração dos critérios e parâmetros</w:t>
      </w:r>
      <w:r w:rsidR="00276BCF">
        <w:t xml:space="preserve"> </w:t>
      </w:r>
      <w:r>
        <w:t>para definição de módulos das unidades escolares, relativos aos</w:t>
      </w:r>
      <w:r w:rsidR="00276BCF">
        <w:t xml:space="preserve"> </w:t>
      </w:r>
      <w:r>
        <w:t>integrantes da classe de Agente de Organização Escolar e da</w:t>
      </w:r>
      <w:r w:rsidR="00276BCF">
        <w:t xml:space="preserve"> </w:t>
      </w:r>
      <w:r>
        <w:t>classe de Agente de Serviços Escolares, visando à sua melhor</w:t>
      </w:r>
      <w:r w:rsidR="00276BCF">
        <w:t xml:space="preserve"> </w:t>
      </w:r>
      <w:r>
        <w:t>adequação, Resolve:</w:t>
      </w:r>
    </w:p>
    <w:p w:rsidR="00AE30E8" w:rsidRDefault="00AE30E8" w:rsidP="00EA1419">
      <w:pPr>
        <w:jc w:val="both"/>
      </w:pPr>
      <w:r>
        <w:t>Artigo 1º - Os critérios e parâmetros para definição dos</w:t>
      </w:r>
      <w:r w:rsidR="00276BCF">
        <w:t xml:space="preserve"> </w:t>
      </w:r>
      <w:r>
        <w:t>módulos das unidades escolares da rede estadual de ensino,</w:t>
      </w:r>
      <w:r w:rsidR="00276BCF">
        <w:t xml:space="preserve"> </w:t>
      </w:r>
      <w:r>
        <w:t>referentes aos cargos e funções do Quadro de Apoio Escolar</w:t>
      </w:r>
      <w:r w:rsidR="00276BCF">
        <w:t xml:space="preserve"> </w:t>
      </w:r>
      <w:r>
        <w:t>- QAE e do Quadro da Secretaria da Educação - QSE, são os</w:t>
      </w:r>
      <w:r w:rsidR="00276BCF">
        <w:t xml:space="preserve"> </w:t>
      </w:r>
      <w:r>
        <w:t>estabelecidos na presente resolução.</w:t>
      </w:r>
    </w:p>
    <w:p w:rsidR="00AE30E8" w:rsidRDefault="00AE30E8" w:rsidP="00EA1419">
      <w:pPr>
        <w:jc w:val="both"/>
      </w:pPr>
      <w:r>
        <w:t>Artigo 2º - Para a definição de módulos, a que se refere o</w:t>
      </w:r>
      <w:r w:rsidR="00276BCF">
        <w:t xml:space="preserve"> </w:t>
      </w:r>
      <w:r>
        <w:t>artigo 1º desta resolução, considerar-se-á:</w:t>
      </w:r>
    </w:p>
    <w:p w:rsidR="00AE30E8" w:rsidRDefault="00AE30E8" w:rsidP="00EA1419">
      <w:pPr>
        <w:jc w:val="both"/>
      </w:pPr>
      <w:r>
        <w:t>I - com referência à classe de Agente de Organização</w:t>
      </w:r>
      <w:r w:rsidR="00276BCF">
        <w:t xml:space="preserve"> </w:t>
      </w:r>
      <w:r>
        <w:t>Escolar - AOE:</w:t>
      </w:r>
    </w:p>
    <w:p w:rsidR="00AE30E8" w:rsidRDefault="00AE30E8" w:rsidP="00EA1419">
      <w:pPr>
        <w:jc w:val="both"/>
      </w:pPr>
      <w:r>
        <w:t>a) o número de classes e de turnos de funcionamento, nas</w:t>
      </w:r>
      <w:r w:rsidR="00276BCF">
        <w:t xml:space="preserve"> </w:t>
      </w:r>
      <w:r>
        <w:t>unidades escolares que mantenham, exclusivamente, classes dos</w:t>
      </w:r>
      <w:r w:rsidR="00276BCF">
        <w:t xml:space="preserve"> </w:t>
      </w:r>
      <w:r>
        <w:t>Anos Iniciais do Ensino Fundamental, de conformidade com a</w:t>
      </w:r>
      <w:r w:rsidR="00276BCF">
        <w:t xml:space="preserve"> </w:t>
      </w:r>
      <w:r>
        <w:t>tabela constante do ANEXO I que integra a presente resolução;</w:t>
      </w:r>
    </w:p>
    <w:p w:rsidR="00AE30E8" w:rsidRDefault="00AE30E8" w:rsidP="00EA1419">
      <w:pPr>
        <w:jc w:val="both"/>
      </w:pPr>
      <w:r>
        <w:t>b) o número de classes e de turnos de funcionamento, nas</w:t>
      </w:r>
      <w:r w:rsidR="00276BCF">
        <w:t xml:space="preserve"> </w:t>
      </w:r>
      <w:r>
        <w:t>demais unidades escolares de Ensino Fundamental e/ou Médio,</w:t>
      </w:r>
      <w:r w:rsidR="00276BCF">
        <w:t xml:space="preserve"> </w:t>
      </w:r>
      <w:r>
        <w:t>de conformidade com a tabela constante do ANEXO II que integra</w:t>
      </w:r>
      <w:r w:rsidR="00276BCF">
        <w:t xml:space="preserve"> </w:t>
      </w:r>
      <w:r>
        <w:t>a presente resolução;</w:t>
      </w:r>
    </w:p>
    <w:p w:rsidR="00AE30E8" w:rsidRDefault="00AE30E8" w:rsidP="00EA1419">
      <w:pPr>
        <w:jc w:val="both"/>
      </w:pPr>
      <w:r>
        <w:t>II - com referência à classe de Agente de Serviços Escolares</w:t>
      </w:r>
      <w:r w:rsidR="00276BCF">
        <w:t xml:space="preserve"> </w:t>
      </w:r>
      <w:r>
        <w:t>- ASE: o número de alunos e de turnos de funcionamento da</w:t>
      </w:r>
      <w:r w:rsidR="00276BCF">
        <w:t xml:space="preserve"> </w:t>
      </w:r>
      <w:r>
        <w:t>unidade escolar, de conformidade com as tabelas constantes do</w:t>
      </w:r>
      <w:r w:rsidR="00276BCF">
        <w:t xml:space="preserve"> </w:t>
      </w:r>
      <w:r>
        <w:t>ANEXO III que integra a presente resolução.</w:t>
      </w:r>
    </w:p>
    <w:p w:rsidR="00AE30E8" w:rsidRDefault="00AE30E8" w:rsidP="00EA1419">
      <w:pPr>
        <w:jc w:val="both"/>
      </w:pPr>
      <w:r>
        <w:t>§ 1º - Haverá 1 (um) Secretário de Escola quando a</w:t>
      </w:r>
      <w:r w:rsidR="00276BCF">
        <w:t xml:space="preserve"> </w:t>
      </w:r>
      <w:r>
        <w:t>unidade funcionar com, no mínimo, 8 (oito) classes e 1 (um)</w:t>
      </w:r>
      <w:r w:rsidR="00276BCF">
        <w:t xml:space="preserve"> </w:t>
      </w:r>
      <w:r>
        <w:t>Assistente de Administração Escolar nas unidades escolares</w:t>
      </w:r>
      <w:r w:rsidR="00276BCF">
        <w:t xml:space="preserve"> </w:t>
      </w:r>
      <w:r>
        <w:t>que oferecem ensino médio com, no mínimo, 4 (quatro)</w:t>
      </w:r>
      <w:r w:rsidR="00276BCF">
        <w:t xml:space="preserve"> </w:t>
      </w:r>
      <w:r>
        <w:t>classes.</w:t>
      </w:r>
    </w:p>
    <w:p w:rsidR="00AE30E8" w:rsidRDefault="00AE30E8" w:rsidP="00EA1419">
      <w:pPr>
        <w:jc w:val="both"/>
      </w:pPr>
      <w:r>
        <w:t>§ 2º - Na aplicação do que dispõe este artigo, as classes vinculadas</w:t>
      </w:r>
      <w:r w:rsidR="009B6702">
        <w:t xml:space="preserve"> </w:t>
      </w:r>
      <w:r>
        <w:t>serão consideradas na unidade vinculadora para cálculo</w:t>
      </w:r>
      <w:r w:rsidR="00B24953">
        <w:t xml:space="preserve"> </w:t>
      </w:r>
      <w:r>
        <w:t>do módulo de Agente de Organização Escolar, sendo que, com</w:t>
      </w:r>
      <w:r w:rsidR="00B24953">
        <w:t xml:space="preserve"> </w:t>
      </w:r>
      <w:r>
        <w:t>relação aos Centros de Estudos de Línguas - CELs, cada grupo</w:t>
      </w:r>
      <w:r w:rsidR="00B24953">
        <w:t xml:space="preserve"> </w:t>
      </w:r>
      <w:r>
        <w:t>de 2 (duas) turmas de alunos será considerado como 1 (uma)</w:t>
      </w:r>
      <w:r w:rsidR="00B24953">
        <w:t xml:space="preserve"> </w:t>
      </w:r>
      <w:r>
        <w:t>classe que integrará o total de classes em funcionamento na</w:t>
      </w:r>
      <w:r w:rsidR="00B24953">
        <w:t xml:space="preserve"> </w:t>
      </w:r>
      <w:r>
        <w:t>unidade vinculadora.</w:t>
      </w:r>
    </w:p>
    <w:p w:rsidR="00AE30E8" w:rsidRDefault="00AE30E8" w:rsidP="00EA1419">
      <w:pPr>
        <w:jc w:val="both"/>
      </w:pPr>
      <w:r>
        <w:t>§ 3º - Com relação à Educação Especial, cada grupo de</w:t>
      </w:r>
      <w:r w:rsidR="00B24953">
        <w:t xml:space="preserve"> </w:t>
      </w:r>
      <w:r>
        <w:t>3(três) classes/turmas de Salas de Recurso será considerado</w:t>
      </w:r>
      <w:r w:rsidR="00B24953">
        <w:t xml:space="preserve"> </w:t>
      </w:r>
      <w:r>
        <w:t>como 1(uma) classe no cômputo para definição do módulo de</w:t>
      </w:r>
      <w:r w:rsidR="00B24953">
        <w:t xml:space="preserve"> </w:t>
      </w:r>
      <w:r>
        <w:t>Agente de Organização Escolar.</w:t>
      </w:r>
    </w:p>
    <w:p w:rsidR="00AE30E8" w:rsidRDefault="00AE30E8" w:rsidP="00EA1419">
      <w:pPr>
        <w:jc w:val="both"/>
      </w:pPr>
      <w:r>
        <w:t>§ 4º - Para fins de definição de módulo de Agente de Organização</w:t>
      </w:r>
      <w:r w:rsidR="00B24953">
        <w:t xml:space="preserve"> </w:t>
      </w:r>
      <w:r>
        <w:t>Escolar, será considerado em dobro o número de classes</w:t>
      </w:r>
      <w:r w:rsidR="00B24953">
        <w:t xml:space="preserve"> </w:t>
      </w:r>
      <w:r>
        <w:t>em funcionamento:</w:t>
      </w:r>
    </w:p>
    <w:p w:rsidR="00AE30E8" w:rsidRDefault="00AE30E8" w:rsidP="00EA1419">
      <w:pPr>
        <w:jc w:val="both"/>
      </w:pPr>
      <w:r>
        <w:t>1. nas Escolas de Tempo Integral - ETIs;</w:t>
      </w:r>
    </w:p>
    <w:p w:rsidR="00AE30E8" w:rsidRDefault="00AE30E8" w:rsidP="00EA1419">
      <w:pPr>
        <w:jc w:val="both"/>
      </w:pPr>
      <w:r>
        <w:t>2. nas unidades escolares participantes do Programa Ensino</w:t>
      </w:r>
      <w:r w:rsidR="00B24953">
        <w:t xml:space="preserve"> </w:t>
      </w:r>
      <w:r>
        <w:t>Integral - PEI, excetuadas as classes do período noturno e as</w:t>
      </w:r>
      <w:r w:rsidR="00B24953">
        <w:t xml:space="preserve"> </w:t>
      </w:r>
      <w:r>
        <w:t>turmas de Sala de Recurso da Educação Especial, por não integrarem</w:t>
      </w:r>
      <w:r w:rsidR="00B24953">
        <w:t xml:space="preserve"> </w:t>
      </w:r>
      <w:r>
        <w:t>o Programa.</w:t>
      </w:r>
    </w:p>
    <w:p w:rsidR="00AE30E8" w:rsidRDefault="00AE30E8" w:rsidP="00EA1419">
      <w:pPr>
        <w:jc w:val="both"/>
      </w:pPr>
      <w:r>
        <w:t>§ 5º - Na definição do módulo referente à classe de Agente</w:t>
      </w:r>
      <w:r w:rsidR="00B24953">
        <w:t xml:space="preserve"> </w:t>
      </w:r>
      <w:r>
        <w:t>de Serviços Escolares, observado o disposto no inciso II deste</w:t>
      </w:r>
      <w:r w:rsidR="00B24953">
        <w:t xml:space="preserve"> </w:t>
      </w:r>
      <w:r>
        <w:t>artigo, também será considerada a especificidade de cada</w:t>
      </w:r>
      <w:r w:rsidR="00B24953">
        <w:t xml:space="preserve"> </w:t>
      </w:r>
      <w:r>
        <w:t>unidade escolar, relativamente aos seguintes itens de prestação</w:t>
      </w:r>
      <w:r w:rsidR="00B24953">
        <w:t xml:space="preserve"> </w:t>
      </w:r>
      <w:r>
        <w:t>de serviços:</w:t>
      </w:r>
    </w:p>
    <w:p w:rsidR="00AE30E8" w:rsidRDefault="00AE30E8" w:rsidP="00EA1419">
      <w:pPr>
        <w:jc w:val="both"/>
      </w:pPr>
      <w:r>
        <w:t>1. limpeza centralizada - a executada por funcionário/servidor</w:t>
      </w:r>
      <w:r w:rsidR="00B24953">
        <w:t xml:space="preserve"> </w:t>
      </w:r>
      <w:r>
        <w:t>do QAE ou do QSE;</w:t>
      </w:r>
    </w:p>
    <w:p w:rsidR="00AE30E8" w:rsidRDefault="00AE30E8" w:rsidP="00EA1419">
      <w:pPr>
        <w:jc w:val="both"/>
      </w:pPr>
      <w:r>
        <w:t>2. limpeza terceirizada - a executada por empresa contratada;</w:t>
      </w:r>
    </w:p>
    <w:p w:rsidR="00AE30E8" w:rsidRDefault="00AE30E8" w:rsidP="00EA1419">
      <w:pPr>
        <w:jc w:val="both"/>
      </w:pPr>
      <w:r>
        <w:t>3. merenda centralizada - a executada por funcionário/servidor do QAE ou do QSE;</w:t>
      </w:r>
    </w:p>
    <w:p w:rsidR="00AE30E8" w:rsidRDefault="00AE30E8" w:rsidP="00EA1419">
      <w:pPr>
        <w:jc w:val="both"/>
      </w:pPr>
      <w:r>
        <w:t>4. merenda descentralizada - a executada pela Prefeitura</w:t>
      </w:r>
      <w:r w:rsidR="00B24953">
        <w:t xml:space="preserve"> </w:t>
      </w:r>
      <w:r>
        <w:t>Municipal;</w:t>
      </w:r>
    </w:p>
    <w:p w:rsidR="00AE30E8" w:rsidRDefault="00AE30E8" w:rsidP="00EA1419">
      <w:pPr>
        <w:jc w:val="both"/>
      </w:pPr>
      <w:r>
        <w:t>5. merenda terceirizada - a executada por empresa contratada.</w:t>
      </w:r>
    </w:p>
    <w:p w:rsidR="00AE30E8" w:rsidRDefault="00AE30E8" w:rsidP="00EA1419">
      <w:pPr>
        <w:jc w:val="both"/>
      </w:pPr>
      <w:r>
        <w:t>Artigo 3º - No cálculo do módulo de pessoal das unidades</w:t>
      </w:r>
      <w:r w:rsidR="00B24953">
        <w:t xml:space="preserve"> </w:t>
      </w:r>
      <w:r>
        <w:t>escolares, deixará de ser computado o funcionário/servidor que</w:t>
      </w:r>
      <w:r w:rsidR="00B24953">
        <w:t xml:space="preserve"> </w:t>
      </w:r>
      <w:r>
        <w:t>se encontre em qualquer uma das seguintes situações:</w:t>
      </w:r>
    </w:p>
    <w:p w:rsidR="00AE30E8" w:rsidRDefault="00AE30E8" w:rsidP="00EA1419">
      <w:pPr>
        <w:jc w:val="both"/>
      </w:pPr>
      <w:r>
        <w:t>I - de readaptação;</w:t>
      </w:r>
    </w:p>
    <w:p w:rsidR="00AE30E8" w:rsidRDefault="00AE30E8" w:rsidP="00EA1419">
      <w:pPr>
        <w:jc w:val="both"/>
      </w:pPr>
      <w:r>
        <w:t>II - de nomeação em comissão;</w:t>
      </w:r>
    </w:p>
    <w:p w:rsidR="00AE30E8" w:rsidRDefault="00AE30E8" w:rsidP="00EA1419">
      <w:pPr>
        <w:jc w:val="both"/>
      </w:pPr>
      <w:r>
        <w:t>III - de designação para exercício da função gratificada de</w:t>
      </w:r>
      <w:r w:rsidR="00B24953">
        <w:t xml:space="preserve"> </w:t>
      </w:r>
      <w:r>
        <w:t>Gerente de Organização Escolar - GOE;</w:t>
      </w:r>
    </w:p>
    <w:p w:rsidR="00AE30E8" w:rsidRDefault="00AE30E8" w:rsidP="00EA1419">
      <w:pPr>
        <w:jc w:val="both"/>
      </w:pPr>
      <w:r>
        <w:t>IV - no exercício de mandato eletivo, nos termos do artigo</w:t>
      </w:r>
      <w:r w:rsidR="00B24953">
        <w:t xml:space="preserve"> </w:t>
      </w:r>
      <w:r>
        <w:t>38 da Constituição Federal de 1988;</w:t>
      </w:r>
    </w:p>
    <w:p w:rsidR="00AE30E8" w:rsidRDefault="00AE30E8" w:rsidP="00EA1419">
      <w:pPr>
        <w:jc w:val="both"/>
      </w:pPr>
      <w:r>
        <w:lastRenderedPageBreak/>
        <w:t>V - em afastamento:</w:t>
      </w:r>
    </w:p>
    <w:p w:rsidR="00AE30E8" w:rsidRDefault="00AE30E8" w:rsidP="00EA1419">
      <w:pPr>
        <w:jc w:val="both"/>
      </w:pPr>
      <w:r>
        <w:t>a) nos termos dos incisos XIII e XIV do artigo 30 da Lei</w:t>
      </w:r>
      <w:r w:rsidR="00B24953">
        <w:t xml:space="preserve"> </w:t>
      </w:r>
      <w:r>
        <w:t>federal 4.737, de 15-7-1965;</w:t>
      </w:r>
    </w:p>
    <w:p w:rsidR="00AE30E8" w:rsidRDefault="00AE30E8" w:rsidP="00EA1419">
      <w:pPr>
        <w:jc w:val="both"/>
      </w:pPr>
      <w:r>
        <w:t>b) nos termos do § 1º do artigo 125 da Constituição Estadual/1989</w:t>
      </w:r>
      <w:r w:rsidR="00B24953">
        <w:t xml:space="preserve"> </w:t>
      </w:r>
      <w:r>
        <w:t>e da Lei Complementar 343, de 6-1-1984;</w:t>
      </w:r>
    </w:p>
    <w:p w:rsidR="00AE30E8" w:rsidRDefault="00AE30E8" w:rsidP="00EA1419">
      <w:pPr>
        <w:jc w:val="both"/>
      </w:pPr>
      <w:r>
        <w:t>c) junto ao Programa de Ação de Parceria Educacional</w:t>
      </w:r>
      <w:r w:rsidR="00B24953">
        <w:t xml:space="preserve"> </w:t>
      </w:r>
      <w:r>
        <w:t>Estado-Município, nos termos do parágrafo único do artigo 5º</w:t>
      </w:r>
      <w:r w:rsidR="00B24953">
        <w:t xml:space="preserve"> </w:t>
      </w:r>
      <w:r>
        <w:t>da Lei Complementar 1.144, de 11-07-2011;</w:t>
      </w:r>
    </w:p>
    <w:p w:rsidR="00AE30E8" w:rsidRDefault="00AE30E8" w:rsidP="00EA1419">
      <w:pPr>
        <w:jc w:val="both"/>
      </w:pPr>
      <w:r>
        <w:t>VI - em licença, nos termos:</w:t>
      </w:r>
    </w:p>
    <w:p w:rsidR="00AE30E8" w:rsidRDefault="00AE30E8" w:rsidP="00EA1419">
      <w:pPr>
        <w:jc w:val="both"/>
      </w:pPr>
      <w:r>
        <w:t>a) do artigo 205 da Lei 10.261, de 28-10-1968; ou</w:t>
      </w:r>
    </w:p>
    <w:p w:rsidR="00AE30E8" w:rsidRDefault="00AE30E8" w:rsidP="00EA1419">
      <w:pPr>
        <w:jc w:val="both"/>
      </w:pPr>
      <w:r>
        <w:t>b) do artigo 191 da Lei 10.261, de 28-10-1968, por período</w:t>
      </w:r>
      <w:r w:rsidR="00B24953">
        <w:t xml:space="preserve"> </w:t>
      </w:r>
      <w:r>
        <w:t>igual ou superior a 180 (cento e oitenta) dias ininterruptos; ou</w:t>
      </w:r>
    </w:p>
    <w:p w:rsidR="00AE30E8" w:rsidRDefault="00AE30E8" w:rsidP="00EA1419">
      <w:pPr>
        <w:jc w:val="both"/>
      </w:pPr>
      <w:r>
        <w:t>VII - em designação, por prazo indeterminado, nos termos:</w:t>
      </w:r>
    </w:p>
    <w:p w:rsidR="00AE30E8" w:rsidRDefault="00AE30E8" w:rsidP="00EA1419">
      <w:pPr>
        <w:jc w:val="both"/>
      </w:pPr>
      <w:r>
        <w:t>a) dos artigos 7º, 80 e 83 da Lei Complementar 180, de</w:t>
      </w:r>
      <w:r w:rsidR="00B24953">
        <w:t xml:space="preserve"> </w:t>
      </w:r>
      <w:r>
        <w:t>12-5-1978; do artigo 28 da Lei 10.168, de 10-7-1968, com as</w:t>
      </w:r>
      <w:r w:rsidR="00B24953">
        <w:t xml:space="preserve"> </w:t>
      </w:r>
      <w:r>
        <w:t>alterações introduzidas pelo Decreto-lei 92, de 6-6-1969, e pela</w:t>
      </w:r>
      <w:r w:rsidR="00B24953">
        <w:t xml:space="preserve"> </w:t>
      </w:r>
      <w:r>
        <w:t>Lei 1.217, de 22-12-1976; dos artigos 23 e 24 da Lei 10.261,</w:t>
      </w:r>
      <w:r w:rsidR="00B24953">
        <w:t xml:space="preserve">  </w:t>
      </w:r>
      <w:r>
        <w:t>de 28-10-1968; dos artigos 78 e 80 do Decreto 42.850, de</w:t>
      </w:r>
      <w:r w:rsidR="00B24953">
        <w:t xml:space="preserve"> </w:t>
      </w:r>
      <w:r>
        <w:t>30-12-1963, ou</w:t>
      </w:r>
    </w:p>
    <w:p w:rsidR="00AE30E8" w:rsidRDefault="00AE30E8" w:rsidP="00EA1419">
      <w:pPr>
        <w:jc w:val="both"/>
      </w:pPr>
      <w:r>
        <w:t>b) dos artigos 5º e 6º da Lei Complementar 847, de 16-7-1998, com a redação dada pela Lei Complementar 1.046, de</w:t>
      </w:r>
      <w:r w:rsidR="00B24953">
        <w:t xml:space="preserve"> </w:t>
      </w:r>
      <w:r>
        <w:t>2-6-2008.</w:t>
      </w:r>
    </w:p>
    <w:p w:rsidR="00AE30E8" w:rsidRDefault="00AE30E8" w:rsidP="00EA1419">
      <w:pPr>
        <w:jc w:val="both"/>
      </w:pPr>
      <w:r>
        <w:t>Artigo 4º - Na identificação do respectivo módulo, as unidades</w:t>
      </w:r>
      <w:r w:rsidR="00B24953">
        <w:t xml:space="preserve"> </w:t>
      </w:r>
      <w:r>
        <w:t>escolares deverão considerar no cômputo correspondente:</w:t>
      </w:r>
    </w:p>
    <w:p w:rsidR="00AE30E8" w:rsidRDefault="00AE30E8" w:rsidP="00EA1419">
      <w:pPr>
        <w:jc w:val="both"/>
      </w:pPr>
      <w:r>
        <w:t>I - os Oficiais Administrativos, como integrantes da classe de</w:t>
      </w:r>
      <w:r w:rsidR="00B24953">
        <w:t xml:space="preserve"> </w:t>
      </w:r>
      <w:r>
        <w:t>Agente de Organização Escolar;</w:t>
      </w:r>
    </w:p>
    <w:p w:rsidR="00AE30E8" w:rsidRDefault="00AE30E8" w:rsidP="00EA1419">
      <w:pPr>
        <w:jc w:val="both"/>
      </w:pPr>
      <w:r>
        <w:t>II - os Auxiliares de Serviços Gerais, como integrantes da</w:t>
      </w:r>
      <w:r w:rsidR="00B24953">
        <w:t xml:space="preserve"> </w:t>
      </w:r>
      <w:r>
        <w:t>classe de Agente de Serviços Escolares.</w:t>
      </w:r>
    </w:p>
    <w:p w:rsidR="00AE30E8" w:rsidRDefault="00AE30E8" w:rsidP="00EA1419">
      <w:pPr>
        <w:jc w:val="both"/>
      </w:pPr>
      <w:r>
        <w:t>Artigo 5º - A movimentação dos funcionários e servidores</w:t>
      </w:r>
      <w:r w:rsidR="00B24953">
        <w:t xml:space="preserve"> </w:t>
      </w:r>
      <w:r>
        <w:t>do QAE e do QSE dar-se-á por:</w:t>
      </w:r>
    </w:p>
    <w:p w:rsidR="00AE30E8" w:rsidRDefault="00AE30E8" w:rsidP="00EA1419">
      <w:pPr>
        <w:jc w:val="both"/>
      </w:pPr>
      <w:r>
        <w:t>I - concurso de remoção, se funcionário do QAE;</w:t>
      </w:r>
    </w:p>
    <w:p w:rsidR="00AE30E8" w:rsidRDefault="00AE30E8" w:rsidP="00EA1419">
      <w:pPr>
        <w:jc w:val="both"/>
      </w:pPr>
      <w:r>
        <w:t>II - transferência, se servidor não efetivo do QAE ou se</w:t>
      </w:r>
      <w:r w:rsidR="00B24953">
        <w:t xml:space="preserve"> </w:t>
      </w:r>
      <w:r>
        <w:t>funcionário/servidor do QSE.</w:t>
      </w:r>
    </w:p>
    <w:p w:rsidR="00AE30E8" w:rsidRDefault="00AE30E8" w:rsidP="00EA1419">
      <w:pPr>
        <w:jc w:val="both"/>
      </w:pPr>
      <w:r>
        <w:t>Parágrafo único - O disposto neste artigo não se aplica aos</w:t>
      </w:r>
      <w:r w:rsidR="00B24953">
        <w:t xml:space="preserve"> </w:t>
      </w:r>
      <w:r>
        <w:t>servidores contratados nos termos da Lei Complementar 1.093,</w:t>
      </w:r>
      <w:r w:rsidR="00B24953">
        <w:t xml:space="preserve"> </w:t>
      </w:r>
      <w:r>
        <w:t>de 16-7-2009.</w:t>
      </w:r>
    </w:p>
    <w:p w:rsidR="00AE30E8" w:rsidRDefault="00AE30E8" w:rsidP="00EA1419">
      <w:pPr>
        <w:jc w:val="both"/>
      </w:pPr>
      <w:r>
        <w:t>Artigo 6º - Para o concurso de remoção dos funcionários</w:t>
      </w:r>
      <w:r w:rsidR="00B24953">
        <w:t xml:space="preserve"> </w:t>
      </w:r>
      <w:r>
        <w:t>do QAE, o levantamento de vagas dar-se-á com observância do</w:t>
      </w:r>
      <w:r w:rsidR="00B24953">
        <w:t xml:space="preserve"> </w:t>
      </w:r>
      <w:r>
        <w:t>que se segue:</w:t>
      </w:r>
    </w:p>
    <w:p w:rsidR="00AE30E8" w:rsidRDefault="00AE30E8" w:rsidP="00EA1419">
      <w:pPr>
        <w:jc w:val="both"/>
      </w:pPr>
      <w:r>
        <w:t>I - serão computadas como iniciais as vagas que estejam</w:t>
      </w:r>
      <w:r w:rsidR="00B24953">
        <w:t xml:space="preserve"> </w:t>
      </w:r>
      <w:r>
        <w:t>sendo ocupadas por servidores contratados;</w:t>
      </w:r>
    </w:p>
    <w:p w:rsidR="00AE30E8" w:rsidRDefault="00AE30E8" w:rsidP="00EA1419">
      <w:pPr>
        <w:jc w:val="both"/>
      </w:pPr>
      <w:r>
        <w:t>II - não será considerada como vaga inicial aquela ocupada</w:t>
      </w:r>
      <w:r w:rsidR="00B24953">
        <w:t xml:space="preserve"> </w:t>
      </w:r>
      <w:r>
        <w:t>por servidor não efetivo do QAE;</w:t>
      </w:r>
    </w:p>
    <w:p w:rsidR="00AE30E8" w:rsidRDefault="00AE30E8" w:rsidP="00EA1419">
      <w:pPr>
        <w:jc w:val="both"/>
      </w:pPr>
      <w:r>
        <w:t>III - não haverá levantamento de vaga potencial nas</w:t>
      </w:r>
      <w:r w:rsidR="00B24953">
        <w:t xml:space="preserve"> </w:t>
      </w:r>
      <w:r>
        <w:t>unidades escolares que possuam, em seu módulo, servidor na</w:t>
      </w:r>
      <w:r w:rsidR="00B24953">
        <w:t xml:space="preserve"> </w:t>
      </w:r>
      <w:r>
        <w:t>condição de excedente;</w:t>
      </w:r>
    </w:p>
    <w:p w:rsidR="00AE30E8" w:rsidRDefault="00AE30E8" w:rsidP="00EA1419">
      <w:pPr>
        <w:jc w:val="both"/>
      </w:pPr>
      <w:r>
        <w:t>IV - não haverá levantamento de vagas na classe de Agente</w:t>
      </w:r>
      <w:r w:rsidR="00B24953">
        <w:t xml:space="preserve"> </w:t>
      </w:r>
      <w:r>
        <w:t>de Serviços Escolares nas escolas com contratação de prestação</w:t>
      </w:r>
      <w:r w:rsidR="00B24953">
        <w:t xml:space="preserve"> </w:t>
      </w:r>
      <w:r>
        <w:t>de serviços de limpeza terceirizados e/ou de merenda descentralizada</w:t>
      </w:r>
      <w:r w:rsidR="00B24953">
        <w:t xml:space="preserve"> </w:t>
      </w:r>
      <w:r>
        <w:t>ou terceirizada.</w:t>
      </w:r>
    </w:p>
    <w:p w:rsidR="00AE30E8" w:rsidRDefault="00AE30E8" w:rsidP="00EA1419">
      <w:pPr>
        <w:jc w:val="both"/>
      </w:pPr>
      <w:r>
        <w:t>Artigo 7º - Os funcionários/servidores do QAE e do QSE, de</w:t>
      </w:r>
      <w:r w:rsidR="00B24953">
        <w:t xml:space="preserve"> </w:t>
      </w:r>
      <w:r>
        <w:t>escolas que tenham sido extintas/desativadas, ou que venham</w:t>
      </w:r>
      <w:r w:rsidR="00B24953">
        <w:t xml:space="preserve"> </w:t>
      </w:r>
      <w:r>
        <w:t>ter a implementação da terceirização/descentralização de serviços ou, ainda, que se encontrem na situação referida no inciso</w:t>
      </w:r>
      <w:r w:rsidR="00B24953">
        <w:t xml:space="preserve"> </w:t>
      </w:r>
      <w:r>
        <w:t>IV do artigo 6º desta resolução, serão transferidos, nos termos</w:t>
      </w:r>
      <w:r w:rsidR="00B24953">
        <w:t xml:space="preserve"> </w:t>
      </w:r>
      <w:r>
        <w:t>da lei, a partir da data da ocorrência, na seguinte conformidade:</w:t>
      </w:r>
    </w:p>
    <w:p w:rsidR="00AE30E8" w:rsidRDefault="00AE30E8" w:rsidP="00EA1419">
      <w:pPr>
        <w:jc w:val="both"/>
      </w:pPr>
      <w:r>
        <w:t>I - a pedido, para onde houver vaga no âmbito da Diretoria</w:t>
      </w:r>
      <w:r w:rsidR="00B24953">
        <w:t xml:space="preserve"> </w:t>
      </w:r>
      <w:r>
        <w:t>de Ensino; ou</w:t>
      </w:r>
    </w:p>
    <w:p w:rsidR="00AE30E8" w:rsidRDefault="00AE30E8" w:rsidP="00EA1419">
      <w:pPr>
        <w:jc w:val="both"/>
      </w:pPr>
      <w:r>
        <w:t>II - ex officio, para a unidade escolar mais próxima, e, se</w:t>
      </w:r>
      <w:r w:rsidR="00B24953">
        <w:t xml:space="preserve"> </w:t>
      </w:r>
      <w:r>
        <w:t>necessário, para outras unidades no âmbito do próprio município, quando houver.</w:t>
      </w:r>
    </w:p>
    <w:p w:rsidR="00AE30E8" w:rsidRDefault="00AE30E8" w:rsidP="00EA1419">
      <w:pPr>
        <w:jc w:val="both"/>
      </w:pPr>
      <w:r>
        <w:t>Artigo 8º - Serão declarados excedentes os servidores do</w:t>
      </w:r>
      <w:r w:rsidR="00B24953">
        <w:t xml:space="preserve"> </w:t>
      </w:r>
      <w:r>
        <w:t>QAE e do QSE que venham a extrapolar o módulo fixado para</w:t>
      </w:r>
      <w:r w:rsidR="00B24953">
        <w:t xml:space="preserve"> </w:t>
      </w:r>
      <w:r>
        <w:t>a unidade escolar.</w:t>
      </w:r>
    </w:p>
    <w:p w:rsidR="00AE30E8" w:rsidRDefault="00AE30E8" w:rsidP="00EA1419">
      <w:pPr>
        <w:jc w:val="both"/>
      </w:pPr>
      <w:r>
        <w:t>Parágrafo único - Observado o cronograma a ser estabelecido</w:t>
      </w:r>
      <w:r w:rsidR="00B24953">
        <w:t xml:space="preserve"> </w:t>
      </w:r>
      <w:r>
        <w:t>pela Coordenadoria de Gestão de Recursos Humanos - CGRH,</w:t>
      </w:r>
      <w:r w:rsidR="00B24953">
        <w:t xml:space="preserve"> </w:t>
      </w:r>
      <w:r>
        <w:t>com vistas ao aproveitamento dos servidores excedentes, assim</w:t>
      </w:r>
      <w:r w:rsidR="00B24953">
        <w:t xml:space="preserve"> </w:t>
      </w:r>
      <w:r>
        <w:t>identificados nas unidades escolares de origem, deverá ocorrer</w:t>
      </w:r>
      <w:r w:rsidR="00B24953">
        <w:t xml:space="preserve"> </w:t>
      </w:r>
      <w:r>
        <w:t>a transferência do servidor para onde existir vaga no âmbito do</w:t>
      </w:r>
      <w:r w:rsidR="00B24953">
        <w:t xml:space="preserve"> </w:t>
      </w:r>
      <w:r>
        <w:t>próprio município.</w:t>
      </w:r>
    </w:p>
    <w:p w:rsidR="00AE30E8" w:rsidRDefault="00AE30E8" w:rsidP="00EA1419">
      <w:pPr>
        <w:jc w:val="both"/>
      </w:pPr>
      <w:r>
        <w:t>Artigo 9º - Terão preferência na composição do módulo</w:t>
      </w:r>
      <w:r w:rsidR="00B24953">
        <w:t xml:space="preserve"> </w:t>
      </w:r>
      <w:r>
        <w:t>escolar:</w:t>
      </w:r>
    </w:p>
    <w:p w:rsidR="00AE30E8" w:rsidRDefault="00AE30E8" w:rsidP="00EA1419">
      <w:pPr>
        <w:jc w:val="both"/>
      </w:pPr>
      <w:r>
        <w:t>I - o funcionário do QAE;</w:t>
      </w:r>
    </w:p>
    <w:p w:rsidR="00AE30E8" w:rsidRDefault="00AE30E8" w:rsidP="00EA1419">
      <w:pPr>
        <w:jc w:val="both"/>
      </w:pPr>
      <w:r>
        <w:t>II - o servidor do QAE;</w:t>
      </w:r>
    </w:p>
    <w:p w:rsidR="00AE30E8" w:rsidRDefault="00AE30E8" w:rsidP="00EA1419">
      <w:pPr>
        <w:jc w:val="both"/>
      </w:pPr>
      <w:r>
        <w:t>III - o funcionário do QSE;</w:t>
      </w:r>
    </w:p>
    <w:p w:rsidR="00AE30E8" w:rsidRDefault="00AE30E8" w:rsidP="00EA1419">
      <w:pPr>
        <w:jc w:val="both"/>
      </w:pPr>
      <w:r>
        <w:t>IV - o servidor do QSE.</w:t>
      </w:r>
    </w:p>
    <w:p w:rsidR="00AE30E8" w:rsidRDefault="00AE30E8" w:rsidP="00EA1419">
      <w:pPr>
        <w:jc w:val="both"/>
      </w:pPr>
      <w:r>
        <w:t>Parágrafo único - O Secretário de Escola, que seja titular</w:t>
      </w:r>
      <w:r w:rsidR="00B24953">
        <w:t xml:space="preserve"> </w:t>
      </w:r>
      <w:r>
        <w:t>de cargo provido mediante concurso público de provas e</w:t>
      </w:r>
      <w:r w:rsidR="00B24953">
        <w:t xml:space="preserve"> </w:t>
      </w:r>
      <w:r>
        <w:t>títulos, terá prioridade sobre o Secretário de Escola, de mesma</w:t>
      </w:r>
      <w:r w:rsidR="00B24953">
        <w:t xml:space="preserve"> </w:t>
      </w:r>
      <w:r>
        <w:t>categoria funcional, com efetividade obtida em decorrência de</w:t>
      </w:r>
      <w:r w:rsidR="00B24953">
        <w:t xml:space="preserve"> </w:t>
      </w:r>
      <w:r>
        <w:t>transformação de cargo.</w:t>
      </w:r>
    </w:p>
    <w:p w:rsidR="00AE30E8" w:rsidRDefault="00AE30E8" w:rsidP="00EA1419">
      <w:pPr>
        <w:jc w:val="both"/>
      </w:pPr>
      <w:r>
        <w:t>Artigo 10 - Para fins de identificação de excedentes e</w:t>
      </w:r>
      <w:r w:rsidR="00B24953">
        <w:t xml:space="preserve"> </w:t>
      </w:r>
      <w:r>
        <w:t>consequente transferência, a classificação dos integrantes</w:t>
      </w:r>
      <w:r w:rsidR="00B24953">
        <w:t xml:space="preserve"> </w:t>
      </w:r>
      <w:r>
        <w:t>do QAE e do QSE, sem detrimento do disposto no artigo 9º</w:t>
      </w:r>
      <w:r w:rsidR="00B24953">
        <w:t xml:space="preserve"> </w:t>
      </w:r>
      <w:r>
        <w:t xml:space="preserve">desta resolução, dar-se-á pelo </w:t>
      </w:r>
      <w:r>
        <w:lastRenderedPageBreak/>
        <w:t>somatório de pontos aferidos,</w:t>
      </w:r>
      <w:r w:rsidR="00B24953">
        <w:t xml:space="preserve"> </w:t>
      </w:r>
      <w:r>
        <w:t>na conformidade que se segue, ao tempo de serviço público</w:t>
      </w:r>
      <w:r w:rsidR="00B24953">
        <w:t xml:space="preserve"> </w:t>
      </w:r>
      <w:r>
        <w:t>estadual prestado:</w:t>
      </w:r>
    </w:p>
    <w:p w:rsidR="00AE30E8" w:rsidRDefault="00AE30E8" w:rsidP="00EA1419">
      <w:pPr>
        <w:jc w:val="both"/>
      </w:pPr>
      <w:r>
        <w:t>I - na Secretaria da Educação: 0,001 por dia;</w:t>
      </w:r>
    </w:p>
    <w:p w:rsidR="00AE30E8" w:rsidRDefault="00AE30E8" w:rsidP="00EA1419">
      <w:pPr>
        <w:jc w:val="both"/>
      </w:pPr>
      <w:r>
        <w:t>II - na respectiva classe, na Unidade Escolar: 0,003 por dia;</w:t>
      </w:r>
    </w:p>
    <w:p w:rsidR="00AE30E8" w:rsidRDefault="00AE30E8" w:rsidP="00EA1419">
      <w:pPr>
        <w:jc w:val="both"/>
      </w:pPr>
      <w:r>
        <w:t>III - no cargo ou na função: 0,004 por dia.</w:t>
      </w:r>
    </w:p>
    <w:p w:rsidR="00AE30E8" w:rsidRDefault="00AE30E8" w:rsidP="00EA1419">
      <w:pPr>
        <w:jc w:val="both"/>
      </w:pPr>
      <w:r>
        <w:t>§ 1º - A contagem de tempo, para aplicação do disposto</w:t>
      </w:r>
      <w:r w:rsidR="00B24953">
        <w:t xml:space="preserve"> </w:t>
      </w:r>
      <w:r>
        <w:t>neste artigo, observará os mesmos critérios estabelecidos para</w:t>
      </w:r>
      <w:r w:rsidR="00B24953">
        <w:t xml:space="preserve"> </w:t>
      </w:r>
      <w:r>
        <w:t>a concessão de adicional por tempo de serviço, devendo ser</w:t>
      </w:r>
      <w:r w:rsidR="00B24953">
        <w:t xml:space="preserve"> </w:t>
      </w:r>
      <w:r>
        <w:t>desprezados todos os períodos em que o funcionário/servidor</w:t>
      </w:r>
      <w:r w:rsidR="00B24953">
        <w:t xml:space="preserve"> </w:t>
      </w:r>
      <w:r>
        <w:t>tenha estado em qualquer das situações previstas no artigo 3º</w:t>
      </w:r>
      <w:r w:rsidR="00B24953">
        <w:t xml:space="preserve"> </w:t>
      </w:r>
      <w:r>
        <w:t>desta resolução, excetuada a situação prevista na alínea “a”</w:t>
      </w:r>
      <w:r w:rsidR="00B24953">
        <w:t xml:space="preserve"> </w:t>
      </w:r>
      <w:r>
        <w:t>do seu inciso V.</w:t>
      </w:r>
    </w:p>
    <w:p w:rsidR="00AE30E8" w:rsidRDefault="00AE30E8" w:rsidP="00EA1419">
      <w:pPr>
        <w:jc w:val="both"/>
      </w:pPr>
      <w:r>
        <w:t>§ 2º - Em casos de empate de pontuação na classificação de</w:t>
      </w:r>
      <w:r w:rsidR="00B24953">
        <w:t xml:space="preserve"> </w:t>
      </w:r>
      <w:r>
        <w:t>que trata este artigo, o desempate dar-se-á na seguinte ordem</w:t>
      </w:r>
      <w:r w:rsidR="00B24953">
        <w:t xml:space="preserve"> </w:t>
      </w:r>
      <w:r>
        <w:t>de preferência:</w:t>
      </w:r>
    </w:p>
    <w:p w:rsidR="00AE30E8" w:rsidRDefault="00AE30E8" w:rsidP="00EA1419">
      <w:pPr>
        <w:jc w:val="both"/>
      </w:pPr>
      <w:r>
        <w:t>1 - pela idade igual ou superior a 60 anos - Estatuto do</w:t>
      </w:r>
      <w:r w:rsidR="00B24953">
        <w:t xml:space="preserve"> </w:t>
      </w:r>
      <w:r>
        <w:t>Idoso, sendo que, havendo dois ou mais classificados nessa</w:t>
      </w:r>
      <w:r w:rsidR="00B24953">
        <w:t xml:space="preserve"> </w:t>
      </w:r>
      <w:r>
        <w:t>situação, o desempate entre eles será pela maior idade;</w:t>
      </w:r>
    </w:p>
    <w:p w:rsidR="00AE30E8" w:rsidRDefault="00AE30E8" w:rsidP="00EA1419">
      <w:pPr>
        <w:jc w:val="both"/>
      </w:pPr>
      <w:r>
        <w:t>2 - pela maior idade, para os inscritos com idade inferior</w:t>
      </w:r>
      <w:r w:rsidR="00B24953">
        <w:t xml:space="preserve"> </w:t>
      </w:r>
      <w:r>
        <w:t>a 60 anos;</w:t>
      </w:r>
    </w:p>
    <w:p w:rsidR="00AE30E8" w:rsidRDefault="00AE30E8" w:rsidP="00EA1419">
      <w:pPr>
        <w:jc w:val="both"/>
      </w:pPr>
      <w:r>
        <w:t>3 - pelo maior número de dependentes (encargos de</w:t>
      </w:r>
      <w:r w:rsidR="00B24953">
        <w:t xml:space="preserve"> </w:t>
      </w:r>
      <w:r>
        <w:t>família).</w:t>
      </w:r>
    </w:p>
    <w:p w:rsidR="00AE30E8" w:rsidRDefault="00AE30E8" w:rsidP="00EA1419">
      <w:pPr>
        <w:jc w:val="both"/>
      </w:pPr>
      <w:r>
        <w:t>Artigo 11 - A transferência de excedentes, de que trata</w:t>
      </w:r>
      <w:r w:rsidR="00B24953">
        <w:t xml:space="preserve"> </w:t>
      </w:r>
      <w:r>
        <w:t>o parágrafo único do artigo 8º desta resolução, observada a</w:t>
      </w:r>
      <w:r w:rsidR="00B24953">
        <w:t xml:space="preserve"> </w:t>
      </w:r>
      <w:r>
        <w:t>existência de vagas, ocorrerá sequencialmente:</w:t>
      </w:r>
    </w:p>
    <w:p w:rsidR="00AE30E8" w:rsidRDefault="00AE30E8" w:rsidP="00EA1419">
      <w:pPr>
        <w:jc w:val="both"/>
      </w:pPr>
      <w:r>
        <w:t>I - a pedido, para outras unidades escolares da Secretaria</w:t>
      </w:r>
      <w:r w:rsidR="00B24953">
        <w:t xml:space="preserve"> </w:t>
      </w:r>
      <w:r>
        <w:t>da Educação; e</w:t>
      </w:r>
    </w:p>
    <w:p w:rsidR="00AE30E8" w:rsidRDefault="00AE30E8" w:rsidP="00EA1419">
      <w:pPr>
        <w:jc w:val="both"/>
      </w:pPr>
      <w:r>
        <w:t>II - obrigatoriamente para outra unidade escolar do mesmo</w:t>
      </w:r>
      <w:r w:rsidR="00B24953">
        <w:t xml:space="preserve"> </w:t>
      </w:r>
      <w:r>
        <w:t>município da Diretoria de Ensino em que foi declarado excedente.</w:t>
      </w:r>
    </w:p>
    <w:p w:rsidR="00AE30E8" w:rsidRDefault="00AE30E8" w:rsidP="00EA1419">
      <w:pPr>
        <w:jc w:val="both"/>
      </w:pPr>
      <w:r>
        <w:t>§ 1º - A transferência, a que se refere o inciso II deste</w:t>
      </w:r>
      <w:r w:rsidR="00B24953">
        <w:t xml:space="preserve"> </w:t>
      </w:r>
      <w:r>
        <w:t>artigo, deixará de ser obrigatória para o excedente quando não</w:t>
      </w:r>
      <w:r w:rsidR="00B24953">
        <w:t xml:space="preserve"> </w:t>
      </w:r>
      <w:r>
        <w:t>houver vaga em nenhuma das unidades escolares sediadas no</w:t>
      </w:r>
      <w:r w:rsidR="00B24953">
        <w:t xml:space="preserve"> </w:t>
      </w:r>
      <w:r>
        <w:t>próprio município.</w:t>
      </w:r>
    </w:p>
    <w:p w:rsidR="00AE30E8" w:rsidRDefault="00AE30E8" w:rsidP="00EA1419">
      <w:pPr>
        <w:jc w:val="both"/>
      </w:pPr>
      <w:r>
        <w:t>§ 2º - Quando o número de servidores excedentes for maior</w:t>
      </w:r>
      <w:r w:rsidR="00B24953">
        <w:t xml:space="preserve"> </w:t>
      </w:r>
      <w:r>
        <w:t>que o de vagas existentes, a obrigatoriedade da transferência</w:t>
      </w:r>
      <w:r w:rsidR="00B24953">
        <w:t xml:space="preserve"> </w:t>
      </w:r>
      <w:r>
        <w:t>recairá no servidor com menor classificação.</w:t>
      </w:r>
    </w:p>
    <w:p w:rsidR="00AE30E8" w:rsidRDefault="00AE30E8" w:rsidP="00EA1419">
      <w:pPr>
        <w:jc w:val="both"/>
      </w:pPr>
      <w:r>
        <w:t>§ 3º - Observado o interesse da Administração e esgotadas</w:t>
      </w:r>
      <w:r w:rsidR="00B24953">
        <w:t xml:space="preserve"> </w:t>
      </w:r>
      <w:r>
        <w:t>as possibilidades de transferência para unidades que contem</w:t>
      </w:r>
      <w:r w:rsidR="00B24953">
        <w:t xml:space="preserve"> </w:t>
      </w:r>
      <w:r>
        <w:t>com vagas disponíveis, caberá ao Dirigente Regional de Ensino</w:t>
      </w:r>
      <w:r w:rsidR="00B24953">
        <w:t xml:space="preserve"> </w:t>
      </w:r>
      <w:r>
        <w:t>proceder a acomodação dos excedentes nas unidades da</w:t>
      </w:r>
      <w:r w:rsidR="00B24953">
        <w:t xml:space="preserve"> </w:t>
      </w:r>
      <w:r>
        <w:t>circunscrição da Diretoria de Ensino, do próprio município,</w:t>
      </w:r>
    </w:p>
    <w:p w:rsidR="00AE30E8" w:rsidRDefault="00AE30E8" w:rsidP="00EA1419">
      <w:pPr>
        <w:jc w:val="both"/>
      </w:pPr>
      <w:r>
        <w:t>independente de possuir o módulo completo, para suprir as</w:t>
      </w:r>
      <w:r w:rsidR="00B24953">
        <w:t xml:space="preserve"> </w:t>
      </w:r>
      <w:r>
        <w:t>demandas da técnico-administrativa da escola, encaminhando a</w:t>
      </w:r>
      <w:r w:rsidR="00B24953">
        <w:t xml:space="preserve"> </w:t>
      </w:r>
      <w:r>
        <w:t>proposta de transferência, a pedido ou ex officio, à autoridade</w:t>
      </w:r>
      <w:r w:rsidR="00B24953">
        <w:t xml:space="preserve"> </w:t>
      </w:r>
      <w:r>
        <w:t>competente.</w:t>
      </w:r>
    </w:p>
    <w:p w:rsidR="00AE30E8" w:rsidRDefault="00AE30E8" w:rsidP="00EA1419">
      <w:pPr>
        <w:jc w:val="both"/>
      </w:pPr>
      <w:r>
        <w:t>§ 4º - O disposto no § 3º deste artigo deverá preliminarmente</w:t>
      </w:r>
      <w:r w:rsidR="00B24953">
        <w:t xml:space="preserve"> </w:t>
      </w:r>
      <w:r>
        <w:t>se restringir ao âmbito territorial do município de classificação</w:t>
      </w:r>
      <w:r w:rsidR="00B24953">
        <w:t xml:space="preserve"> </w:t>
      </w:r>
      <w:r>
        <w:t>do cargo/função do servidor, quando a circunscrição da Diretoria</w:t>
      </w:r>
      <w:r w:rsidR="00B24953">
        <w:t xml:space="preserve"> </w:t>
      </w:r>
      <w:r>
        <w:t>de Ensino abranger mais de um município, e no âmbito da Diretoria</w:t>
      </w:r>
      <w:r w:rsidR="00B24953">
        <w:t xml:space="preserve"> </w:t>
      </w:r>
      <w:r>
        <w:t>de Ensino, quando o município contar com mais de uma</w:t>
      </w:r>
      <w:r w:rsidR="00B24953">
        <w:t xml:space="preserve"> </w:t>
      </w:r>
      <w:r>
        <w:t>Diretoria de Ensino.</w:t>
      </w:r>
    </w:p>
    <w:p w:rsidR="00AE30E8" w:rsidRDefault="00AE30E8" w:rsidP="00EA1419">
      <w:pPr>
        <w:jc w:val="both"/>
      </w:pPr>
      <w:r>
        <w:t>§ 5º - Fica assegurado ao servidor, que for transferido</w:t>
      </w:r>
      <w:r w:rsidR="00B24953">
        <w:t xml:space="preserve"> </w:t>
      </w:r>
      <w:r>
        <w:t>em conformidade com o § 3º deste artigo, no prazo de 15</w:t>
      </w:r>
      <w:r w:rsidR="00B24953">
        <w:t xml:space="preserve"> </w:t>
      </w:r>
      <w:r>
        <w:t>(quinze) dias contados da data da transferência, manifestar</w:t>
      </w:r>
      <w:r w:rsidR="00B24953">
        <w:t xml:space="preserve"> </w:t>
      </w:r>
      <w:r>
        <w:t>sua opção pelo retorno a unidade de origem, para quando</w:t>
      </w:r>
      <w:r w:rsidR="00B24953">
        <w:t xml:space="preserve"> </w:t>
      </w:r>
      <w:r>
        <w:t>surgir vaga.</w:t>
      </w:r>
    </w:p>
    <w:p w:rsidR="00AE30E8" w:rsidRDefault="00AE30E8" w:rsidP="00EA1419">
      <w:pPr>
        <w:jc w:val="both"/>
      </w:pPr>
      <w:r>
        <w:t>§ 6º - O disposto no § 4º deste artigo não se aplica à situação de transferência a pedido do servidor.</w:t>
      </w:r>
    </w:p>
    <w:p w:rsidR="00AE30E8" w:rsidRDefault="00AE30E8" w:rsidP="00EA1419">
      <w:pPr>
        <w:jc w:val="both"/>
      </w:pPr>
      <w:r>
        <w:t>§ 7º - A transferência de excedentes, nos termos deste artigo,</w:t>
      </w:r>
      <w:r w:rsidR="00B24953">
        <w:t xml:space="preserve"> </w:t>
      </w:r>
      <w:r>
        <w:t>não se aplica ao Oficial Administrativo do QSE.</w:t>
      </w:r>
    </w:p>
    <w:p w:rsidR="00AE30E8" w:rsidRDefault="00AE30E8" w:rsidP="00EA1419">
      <w:pPr>
        <w:jc w:val="both"/>
      </w:pPr>
      <w:r>
        <w:t>Artigo 12 - O Oficial Administrativo identificado como</w:t>
      </w:r>
      <w:r w:rsidR="00B24953">
        <w:t xml:space="preserve"> </w:t>
      </w:r>
      <w:r>
        <w:t>excedente na unidade escolar será transferido para a Diretoria</w:t>
      </w:r>
      <w:r w:rsidR="00B24953">
        <w:t xml:space="preserve"> </w:t>
      </w:r>
      <w:r>
        <w:t>de Ensino de circunscrição, desde que a Diretoria e a unidade</w:t>
      </w:r>
      <w:r w:rsidR="00B24953">
        <w:t xml:space="preserve"> </w:t>
      </w:r>
      <w:r>
        <w:t>escolar estejam sediadas em um mesmo município.</w:t>
      </w:r>
    </w:p>
    <w:p w:rsidR="00AE30E8" w:rsidRDefault="00AE30E8" w:rsidP="00EA1419">
      <w:pPr>
        <w:jc w:val="both"/>
      </w:pPr>
      <w:r>
        <w:t>§ 1º - No caso de a Diretoria de Ensino e a unidade escolar</w:t>
      </w:r>
      <w:r w:rsidR="00B24953">
        <w:t xml:space="preserve"> </w:t>
      </w:r>
      <w:r>
        <w:t>situarem-se em municípios distintos, não se procederá à transferência</w:t>
      </w:r>
      <w:r w:rsidR="00B24953">
        <w:t xml:space="preserve"> </w:t>
      </w:r>
      <w:r>
        <w:t>do servidor excedente.</w:t>
      </w:r>
    </w:p>
    <w:p w:rsidR="00AE30E8" w:rsidRDefault="00AE30E8" w:rsidP="00EA1419">
      <w:pPr>
        <w:jc w:val="both"/>
      </w:pPr>
      <w:r>
        <w:t>§ 2º - O Oficial Administrativo, que já tenha sido transferido</w:t>
      </w:r>
      <w:r w:rsidR="00B24953">
        <w:t xml:space="preserve"> </w:t>
      </w:r>
      <w:r>
        <w:t>de unidade escolar para Diretoria de Ensino, somente poderá</w:t>
      </w:r>
      <w:r w:rsidR="00B24953">
        <w:t xml:space="preserve"> </w:t>
      </w:r>
      <w:r>
        <w:t>ser transferido para outra Diretoria de Ensino, a seu pedido, se</w:t>
      </w:r>
      <w:r w:rsidR="00B24953">
        <w:t xml:space="preserve"> </w:t>
      </w:r>
      <w:r>
        <w:t>comprovada a existência de vaga e observada a conveniência</w:t>
      </w:r>
      <w:r w:rsidR="00B24953">
        <w:t xml:space="preserve"> </w:t>
      </w:r>
      <w:r>
        <w:t>da Administração.</w:t>
      </w:r>
    </w:p>
    <w:p w:rsidR="00AE30E8" w:rsidRDefault="00AE30E8" w:rsidP="00EA1419">
      <w:pPr>
        <w:jc w:val="both"/>
      </w:pPr>
      <w:r>
        <w:t>Artigo 13 - A transferência dos funcionários/servidores, de</w:t>
      </w:r>
      <w:r w:rsidR="00B24953">
        <w:t xml:space="preserve"> </w:t>
      </w:r>
      <w:r>
        <w:t>que trata esta resolução, far-se-á com fundamento nos artigos</w:t>
      </w:r>
      <w:r w:rsidR="00B24953">
        <w:t xml:space="preserve"> </w:t>
      </w:r>
      <w:r>
        <w:t>54 e 55 da Lei Complementar 180, de 12-5-1978.</w:t>
      </w:r>
    </w:p>
    <w:p w:rsidR="00AE30E8" w:rsidRDefault="00AE30E8" w:rsidP="00EA1419">
      <w:pPr>
        <w:jc w:val="both"/>
      </w:pPr>
      <w:r>
        <w:t>Artigo 14 - Compete ao Dirigente Regional de Ensino,</w:t>
      </w:r>
      <w:r w:rsidR="00B24953">
        <w:t xml:space="preserve"> </w:t>
      </w:r>
      <w:r>
        <w:t>na área de sua circunscrição, proceder à declaração de</w:t>
      </w:r>
      <w:r w:rsidR="00B24953">
        <w:t xml:space="preserve"> </w:t>
      </w:r>
      <w:r>
        <w:t>excedente, bem como à atribuição de vagas para transferência</w:t>
      </w:r>
      <w:r w:rsidR="00B24953">
        <w:t xml:space="preserve"> </w:t>
      </w:r>
      <w:r>
        <w:t>dos servidores, cabendo à Coordenadoria de Gestão</w:t>
      </w:r>
      <w:r w:rsidR="00B24953">
        <w:t xml:space="preserve"> </w:t>
      </w:r>
      <w:r>
        <w:t>de Recursos Humanos proceder às transferências que sejam</w:t>
      </w:r>
      <w:r w:rsidR="00B24953">
        <w:t xml:space="preserve"> </w:t>
      </w:r>
      <w:r>
        <w:t>autorizadas.</w:t>
      </w:r>
    </w:p>
    <w:p w:rsidR="00AE30E8" w:rsidRDefault="00AE30E8" w:rsidP="00EA1419">
      <w:pPr>
        <w:jc w:val="both"/>
      </w:pPr>
      <w:r>
        <w:t>Artigo 15 - Esta resolução entra em vigor na data de sua</w:t>
      </w:r>
      <w:r w:rsidR="00B24953">
        <w:t xml:space="preserve"> </w:t>
      </w:r>
      <w:r>
        <w:t>publicação, ficando revogadas as disposições em contrário, em</w:t>
      </w:r>
      <w:r w:rsidR="00B24953">
        <w:t xml:space="preserve"> </w:t>
      </w:r>
      <w:r>
        <w:t>especial a Resolução SE 29, de 2.5.2016.</w:t>
      </w:r>
    </w:p>
    <w:p w:rsidR="00AE30E8" w:rsidRDefault="00AE30E8" w:rsidP="00EA1419">
      <w:pPr>
        <w:jc w:val="both"/>
      </w:pPr>
    </w:p>
    <w:p w:rsidR="00AE30E8" w:rsidRDefault="00AE30E8" w:rsidP="00EA1419">
      <w:pPr>
        <w:jc w:val="both"/>
      </w:pPr>
      <w:r>
        <w:rPr>
          <w:noProof/>
        </w:rPr>
        <w:lastRenderedPageBreak/>
        <w:drawing>
          <wp:inline distT="0" distB="0" distL="0" distR="0" wp14:anchorId="72DB9569" wp14:editId="2DDB9CAA">
            <wp:extent cx="5048250" cy="3619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0E8" w:rsidRDefault="00AE30E8" w:rsidP="00EA1419">
      <w:pPr>
        <w:jc w:val="both"/>
      </w:pPr>
    </w:p>
    <w:p w:rsidR="00AE30E8" w:rsidRDefault="00AE30E8" w:rsidP="00EA1419">
      <w:pPr>
        <w:jc w:val="both"/>
      </w:pPr>
    </w:p>
    <w:p w:rsidR="00AE30E8" w:rsidRDefault="00AE30E8" w:rsidP="00EA1419">
      <w:pPr>
        <w:jc w:val="both"/>
      </w:pPr>
    </w:p>
    <w:p w:rsidR="00AE30E8" w:rsidRDefault="00AE30E8" w:rsidP="00EA1419">
      <w:pPr>
        <w:jc w:val="both"/>
      </w:pPr>
    </w:p>
    <w:p w:rsidR="00AE30E8" w:rsidRDefault="00AE30E8" w:rsidP="00EA1419">
      <w:pPr>
        <w:jc w:val="both"/>
      </w:pPr>
    </w:p>
    <w:p w:rsidR="00AE30E8" w:rsidRDefault="00AE30E8" w:rsidP="00EA1419">
      <w:pPr>
        <w:jc w:val="both"/>
      </w:pPr>
      <w:r>
        <w:rPr>
          <w:noProof/>
        </w:rPr>
        <w:drawing>
          <wp:inline distT="0" distB="0" distL="0" distR="0" wp14:anchorId="1D47F8AB" wp14:editId="53D871C4">
            <wp:extent cx="5372100" cy="4324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0E8" w:rsidRDefault="00AE30E8" w:rsidP="00EA1419">
      <w:pPr>
        <w:jc w:val="both"/>
      </w:pPr>
    </w:p>
    <w:p w:rsidR="00AE30E8" w:rsidRDefault="00AE30E8" w:rsidP="00EA1419">
      <w:pPr>
        <w:jc w:val="both"/>
      </w:pPr>
      <w:r>
        <w:rPr>
          <w:noProof/>
        </w:rPr>
        <w:lastRenderedPageBreak/>
        <w:drawing>
          <wp:inline distT="0" distB="0" distL="0" distR="0" wp14:anchorId="4DC375DF" wp14:editId="5141D268">
            <wp:extent cx="4943475" cy="4010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0E8" w:rsidRDefault="00AE30E8" w:rsidP="00EA1419">
      <w:pPr>
        <w:jc w:val="both"/>
      </w:pPr>
    </w:p>
    <w:p w:rsidR="00AE30E8" w:rsidRDefault="00AE30E8" w:rsidP="00EA1419">
      <w:pPr>
        <w:jc w:val="both"/>
      </w:pPr>
      <w:r>
        <w:rPr>
          <w:noProof/>
        </w:rPr>
        <w:drawing>
          <wp:inline distT="0" distB="0" distL="0" distR="0" wp14:anchorId="6A3D0A76" wp14:editId="4FC58634">
            <wp:extent cx="5114925" cy="35718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0E8" w:rsidRDefault="00AE30E8" w:rsidP="00EA1419">
      <w:pPr>
        <w:jc w:val="both"/>
      </w:pPr>
    </w:p>
    <w:p w:rsidR="00AE30E8" w:rsidRPr="00AE30E8" w:rsidRDefault="00AE30E8" w:rsidP="00EA1419">
      <w:pPr>
        <w:jc w:val="both"/>
      </w:pPr>
      <w:r>
        <w:rPr>
          <w:noProof/>
        </w:rPr>
        <w:lastRenderedPageBreak/>
        <w:drawing>
          <wp:inline distT="0" distB="0" distL="0" distR="0" wp14:anchorId="7F0EDD14" wp14:editId="70E4A08A">
            <wp:extent cx="4638675" cy="29337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0E8" w:rsidRPr="00AE30E8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CE" w:rsidRDefault="00C717CE" w:rsidP="00A673A9">
      <w:r>
        <w:separator/>
      </w:r>
    </w:p>
  </w:endnote>
  <w:endnote w:type="continuationSeparator" w:id="0">
    <w:p w:rsidR="00C717CE" w:rsidRDefault="00C717CE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CE" w:rsidRDefault="00C717CE" w:rsidP="00A673A9">
      <w:r>
        <w:separator/>
      </w:r>
    </w:p>
  </w:footnote>
  <w:footnote w:type="continuationSeparator" w:id="0">
    <w:p w:rsidR="00C717CE" w:rsidRDefault="00C717CE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4CB6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54E60"/>
    <w:rsid w:val="0025678C"/>
    <w:rsid w:val="00265D41"/>
    <w:rsid w:val="00276BCF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0035"/>
    <w:rsid w:val="0034690A"/>
    <w:rsid w:val="00346C1B"/>
    <w:rsid w:val="00351EA6"/>
    <w:rsid w:val="0035667F"/>
    <w:rsid w:val="0037080C"/>
    <w:rsid w:val="00371CDA"/>
    <w:rsid w:val="003767AA"/>
    <w:rsid w:val="003852C1"/>
    <w:rsid w:val="00392C4E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819D5"/>
    <w:rsid w:val="004A24E6"/>
    <w:rsid w:val="004A41CE"/>
    <w:rsid w:val="004A6C69"/>
    <w:rsid w:val="004B2212"/>
    <w:rsid w:val="004B54F2"/>
    <w:rsid w:val="004E6977"/>
    <w:rsid w:val="00503573"/>
    <w:rsid w:val="00532771"/>
    <w:rsid w:val="005333C2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12B93"/>
    <w:rsid w:val="007211B5"/>
    <w:rsid w:val="00727B73"/>
    <w:rsid w:val="00731AEC"/>
    <w:rsid w:val="00754142"/>
    <w:rsid w:val="00787FE4"/>
    <w:rsid w:val="00790152"/>
    <w:rsid w:val="00794CAB"/>
    <w:rsid w:val="007B1ADF"/>
    <w:rsid w:val="007B57DA"/>
    <w:rsid w:val="007C66B5"/>
    <w:rsid w:val="007E0B59"/>
    <w:rsid w:val="00801297"/>
    <w:rsid w:val="00842D2B"/>
    <w:rsid w:val="008453DB"/>
    <w:rsid w:val="008615DF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73911"/>
    <w:rsid w:val="00975DBE"/>
    <w:rsid w:val="009B6702"/>
    <w:rsid w:val="009D0421"/>
    <w:rsid w:val="009E2F4B"/>
    <w:rsid w:val="009F01E4"/>
    <w:rsid w:val="00A3793A"/>
    <w:rsid w:val="00A46FCB"/>
    <w:rsid w:val="00A512A0"/>
    <w:rsid w:val="00A617BD"/>
    <w:rsid w:val="00A65DBB"/>
    <w:rsid w:val="00A673A9"/>
    <w:rsid w:val="00A80313"/>
    <w:rsid w:val="00A83EF1"/>
    <w:rsid w:val="00AB255E"/>
    <w:rsid w:val="00AB3A0B"/>
    <w:rsid w:val="00AC58CD"/>
    <w:rsid w:val="00AE30E8"/>
    <w:rsid w:val="00AF43C1"/>
    <w:rsid w:val="00AF5EDA"/>
    <w:rsid w:val="00B149D8"/>
    <w:rsid w:val="00B20B47"/>
    <w:rsid w:val="00B24953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C2731"/>
    <w:rsid w:val="00BE2970"/>
    <w:rsid w:val="00BF64DE"/>
    <w:rsid w:val="00C045FA"/>
    <w:rsid w:val="00C147AC"/>
    <w:rsid w:val="00C31C93"/>
    <w:rsid w:val="00C36B6E"/>
    <w:rsid w:val="00C66772"/>
    <w:rsid w:val="00C66D81"/>
    <w:rsid w:val="00C717CE"/>
    <w:rsid w:val="00C81600"/>
    <w:rsid w:val="00C83AC1"/>
    <w:rsid w:val="00C94785"/>
    <w:rsid w:val="00CA6BD0"/>
    <w:rsid w:val="00CB0741"/>
    <w:rsid w:val="00CB3D2D"/>
    <w:rsid w:val="00CB7B5A"/>
    <w:rsid w:val="00CC558D"/>
    <w:rsid w:val="00CD031A"/>
    <w:rsid w:val="00CD6C59"/>
    <w:rsid w:val="00CE02B4"/>
    <w:rsid w:val="00CE0F37"/>
    <w:rsid w:val="00CE6B8C"/>
    <w:rsid w:val="00D052E4"/>
    <w:rsid w:val="00D05D76"/>
    <w:rsid w:val="00D7036B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33577"/>
    <w:rsid w:val="00E35A80"/>
    <w:rsid w:val="00E4203D"/>
    <w:rsid w:val="00E615E2"/>
    <w:rsid w:val="00E82B89"/>
    <w:rsid w:val="00EA1419"/>
    <w:rsid w:val="00EC0E4C"/>
    <w:rsid w:val="00EC3922"/>
    <w:rsid w:val="00EC3998"/>
    <w:rsid w:val="00EE34D1"/>
    <w:rsid w:val="00EF30DB"/>
    <w:rsid w:val="00F0286F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8064D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1979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3</cp:revision>
  <cp:lastPrinted>2016-09-23T12:22:00Z</cp:lastPrinted>
  <dcterms:created xsi:type="dcterms:W3CDTF">2017-03-03T13:17:00Z</dcterms:created>
  <dcterms:modified xsi:type="dcterms:W3CDTF">2017-03-03T13:18:00Z</dcterms:modified>
</cp:coreProperties>
</file>