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50" w:rsidRPr="00BA3650" w:rsidRDefault="00BA3650" w:rsidP="00BA3650">
      <w:pPr>
        <w:autoSpaceDE w:val="0"/>
        <w:autoSpaceDN w:val="0"/>
        <w:adjustRightInd w:val="0"/>
        <w:spacing w:before="120" w:after="0" w:line="240" w:lineRule="auto"/>
        <w:ind w:firstLine="709"/>
        <w:jc w:val="center"/>
        <w:rPr>
          <w:rFonts w:ascii="Verdana" w:eastAsia="Calibri" w:hAnsi="Verdana" w:cs="Frutiger-BoldCn"/>
          <w:b/>
          <w:bCs/>
          <w:sz w:val="20"/>
          <w:szCs w:val="20"/>
        </w:rPr>
      </w:pPr>
      <w:bookmarkStart w:id="0" w:name="_GoBack"/>
      <w:bookmarkEnd w:id="0"/>
      <w:r w:rsidRPr="00BA3650">
        <w:rPr>
          <w:rFonts w:ascii="Verdana" w:eastAsia="Calibri" w:hAnsi="Verdana" w:cs="Frutiger-BoldCn"/>
          <w:b/>
          <w:bCs/>
          <w:sz w:val="20"/>
          <w:szCs w:val="20"/>
        </w:rPr>
        <w:t>Resolução SE 83, de 17-12-2013</w:t>
      </w:r>
    </w:p>
    <w:p w:rsidR="00BA3650" w:rsidRPr="00BA3650" w:rsidRDefault="00BA3650" w:rsidP="00BA3650">
      <w:pPr>
        <w:autoSpaceDE w:val="0"/>
        <w:autoSpaceDN w:val="0"/>
        <w:adjustRightInd w:val="0"/>
        <w:spacing w:before="120" w:after="0" w:line="240" w:lineRule="auto"/>
        <w:ind w:firstLine="709"/>
        <w:jc w:val="center"/>
        <w:rPr>
          <w:rFonts w:ascii="Verdana" w:eastAsia="Calibri" w:hAnsi="Verdana" w:cs="Frutiger-BoldCn"/>
          <w:b/>
          <w:bCs/>
          <w:sz w:val="20"/>
          <w:szCs w:val="20"/>
        </w:rPr>
      </w:pPr>
    </w:p>
    <w:p w:rsidR="00BA3650" w:rsidRPr="00BA3650" w:rsidRDefault="00BA3650" w:rsidP="00BA3650">
      <w:pPr>
        <w:autoSpaceDE w:val="0"/>
        <w:autoSpaceDN w:val="0"/>
        <w:adjustRightInd w:val="0"/>
        <w:spacing w:before="120" w:after="0" w:line="240" w:lineRule="auto"/>
        <w:jc w:val="center"/>
        <w:rPr>
          <w:rFonts w:ascii="Verdana" w:eastAsia="Calibri" w:hAnsi="Verdana" w:cs="Frutiger-LightItalic"/>
          <w:iCs/>
          <w:sz w:val="20"/>
          <w:szCs w:val="20"/>
        </w:rPr>
      </w:pPr>
      <w:r w:rsidRPr="00BA3650">
        <w:rPr>
          <w:rFonts w:ascii="Verdana" w:eastAsia="Calibri" w:hAnsi="Verdana" w:cs="Frutiger-LightItalic"/>
          <w:iCs/>
          <w:sz w:val="20"/>
          <w:szCs w:val="20"/>
        </w:rPr>
        <w:t>Dispõe sobre desfazimento de materiais didáticos e/ou de apoio considerados irrecuperáveis, desatualizados ou inservíveis, no âmbito da Secretaria da Educação e dá outras providências</w:t>
      </w:r>
    </w:p>
    <w:p w:rsidR="00BA3650" w:rsidRPr="00BA3650" w:rsidRDefault="00BA3650" w:rsidP="00BA3650">
      <w:pPr>
        <w:autoSpaceDE w:val="0"/>
        <w:autoSpaceDN w:val="0"/>
        <w:adjustRightInd w:val="0"/>
        <w:spacing w:before="120" w:after="0" w:line="240" w:lineRule="auto"/>
        <w:ind w:firstLine="709"/>
        <w:jc w:val="center"/>
        <w:rPr>
          <w:rFonts w:ascii="Verdana" w:eastAsia="Calibri" w:hAnsi="Verdana" w:cs="Frutiger-LightItalic"/>
          <w:i/>
          <w:iCs/>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O Secretário da Educação, à vista do que lhe representou a Coordenadoria de Gestão da Educação Básica – CGEB e com fundamento no disposto nos artigos 2º e 18 da Lei Federal nº 10.753, de 30 de outubro de 2003, no artigo 7º do Decreto federal nº 7.084, de 27 de janeiro de 2010, na Resolução FNDE/CD nº 30, de 4 de agosto de 2006, no artigo 9º da Resolução FNDE/ CD nº 42, de 28 de agosto de 2012, na Lei estadual nº 7.396, de 8 de julho de 1991, na Lei estadual nº 14.470, de 22 de junho de 2011, bem como nas determinações do Decreto estadual nº 27.041, de 29 de maio de 1987, alterado pelo Decreto estadual nº 27.163 de 10 de julho de 1987,</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Resolve: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 xml:space="preserve">Artigo 1º - O desfazimento de materiais didáticos e/ou de apoio, impressos, digitais, magnéticos e de outros congêneres, existentes nos órgãos centrais, regionais e locais da Secretaria da Educação, </w:t>
      </w:r>
      <w:proofErr w:type="spellStart"/>
      <w:r w:rsidRPr="00BA3650">
        <w:rPr>
          <w:rFonts w:ascii="Verdana" w:eastAsia="Calibri" w:hAnsi="Verdana" w:cs="Frutiger-Cn"/>
          <w:sz w:val="20"/>
          <w:szCs w:val="20"/>
        </w:rPr>
        <w:t>obsevará</w:t>
      </w:r>
      <w:proofErr w:type="spellEnd"/>
      <w:r w:rsidRPr="00BA3650">
        <w:rPr>
          <w:rFonts w:ascii="Verdana" w:eastAsia="Calibri" w:hAnsi="Verdana" w:cs="Frutiger-Cn"/>
          <w:sz w:val="20"/>
          <w:szCs w:val="20"/>
        </w:rPr>
        <w:t xml:space="preserve"> o disposto na presente resolução, considerando-se bem:</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 - irrecuperável - todo material didático e/ou de apoio que não possa ser utilizado para os fins a que se destina, devido à perda de suas características ou em razão da inviabilidade econômica de sua recuperação;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 – desatualizado – todo material didático e/ou de apoio cujos dados estejam desatualizados e que não acompanhem a evolução de sua área de especialização;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III – inservível – todo material didático e/ou de apoio que não possa ser utilizado devido à sua exposição a agentes contaminantes, tais como roedores, aves, substâncias tóxicas e similares.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Parágrafo único – No caso de livros didáticos reutilizáveis, do Programa Nacional do Livro Didático - PNLD, a desatualização ocorre após o 3º ano de uso, por alunos e professores, conforme disposto na legislação federal em vigor.</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2º - Consideram-se materiais didáticos e/ou de apoio, para fins de desfazimento: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 – livro: publicação de textos escritos em fichas ou folhas, não periódica, grampeada, colada ou costurada, em volume cartonado, encadernado ou em brochura, em capas avulsas, em qualquer formato e acabamento; 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 documentos equiparados a livros: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 fascículos, publicações de qualquer natureza que representem parte de livro;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b) materiais avulsos relacionados com livro, impressos em papel ou em material similar;</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c) roteiros de leitura para controle e estudo de literatura ou de obras didáticas;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d) álbuns para colorir, pintar, recortar ou armar;</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e) atlas geográficos, históricos, anatômicos, mapas e cartogramas;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f) textos derivados de livro ou originais, produzidos por editores, mediante contrato de edição celebrado com o autor, com a utilização de qualquer suporte;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g) livros produzidos por meio digital, magnético ou ótico, para uso exclusivo de pessoas com deficiência visual;</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H) livros impressos no Sistema Braille.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 1º - Inclui-se, na conceituação de livro, de que trata este artigo, todo e qualquer material didático e/ou de apoio, recebido pelas unidades centrais, regionais ou locais, da Secretaria da Educação, proveniente de programas federais e estaduais, mediante aquisições, doações e outros, inclusive fitas VHS, disquetes, CDs, DVDs, softwares, livros, revistas e periódicos.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 xml:space="preserve">§ 2º - Em se tratando de material bibliográfico, </w:t>
      </w:r>
      <w:proofErr w:type="spellStart"/>
      <w:r w:rsidRPr="00BA3650">
        <w:rPr>
          <w:rFonts w:ascii="Verdana" w:eastAsia="Calibri" w:hAnsi="Verdana" w:cs="Frutiger-Cn"/>
          <w:sz w:val="20"/>
          <w:szCs w:val="20"/>
        </w:rPr>
        <w:t>patrimoniado</w:t>
      </w:r>
      <w:proofErr w:type="spellEnd"/>
      <w:r w:rsidRPr="00BA3650">
        <w:rPr>
          <w:rFonts w:ascii="Verdana" w:eastAsia="Calibri" w:hAnsi="Verdana" w:cs="Frutiger-Cn"/>
          <w:sz w:val="20"/>
          <w:szCs w:val="20"/>
        </w:rPr>
        <w:t xml:space="preserve"> pela Secretaria da Educação, faz-se necessário, quando do desfazimento, preenchimento do mapa de arrolamento de bens permanentes e/ou de consumo e autuação de processo de baixa, com encaminhamento para o Grupo de Trabalho de Materiais Excedentes – GTMEX, para a devida autorização junto ao Centro de Material Excedente, do Fundo Social de Solidariedade do Estado de São Paulo – FUSSESP e, posterior, saída desse material.</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3º - O processo de desfazimento de materiais didáticos e/ou de apoio far-se-á mediante os seguintes procedimentos: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 - na unidade escolar:</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 realização de levantamento dos materiais didáticos e/ ou de apoio, considerados irrecuperáveis, desatualizados e inservíveis;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b) preenchimento do Anexo I que integra esta resolução; 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c) encaminhamento do Anexo I, por meio de ofício, à EAMEX da Diretoria de Ensino, para análise e providências;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 - na Diretoria de Ensino: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 levantamento dos materiais didáticos e/ou de apoio, considerados irrecuperáveis, desatualizados e inservíveis;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b) preenchimento do Anexo II que integra esta resolução; 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c) encaminhamento do Anexo II, por meio de ofício, ao GTMEX, para análise e providências.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III - Nos órgãos centrais: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 levantamento dos materiais didáticos e/ou de apoio, considerados irrecuperáveis, desatualizados e inservíveis;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b) preenchimento do Anexo III, que integra esta resolução; e</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c) encaminhamento do Anexo III, por meio de ofício, ao GTMEX, para análise e providências.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Parágrafo único – A coordenação dos procedimentos de que trata este artigo será desempenhada por:</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1. na unidade escolar: comissão interna composta por 2 servidores;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2. na Diretoria de Ensino: Equipe de Apoio de Materiais Excedentes - EAMEX;</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3. no órgão central: Grupo de Trabalho de Material Excedente - GTMEX.</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4º - Para os procedimentos de desfazimento, o GTMEX e a EAMEX deverão considerar, respeitada a legislação vigente, a possibilidade de doação: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 - ao Fundo Social de Solidariedade do Estado de São Paulo - FUSSESP;</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 - à prefeitura do município onde localiza-se a unidade escolar ou a Diretoria de Ensino;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III - à cooperativa de reciclagem e/ou associações de catadores de materiais recicláveis, devidamente habilitadas;</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IV - às instituições de caridade ou filantrópicas que prestam atendimento educacional;</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V - à Associação de Pais e Mestres - APM para uso de interesse social e educacional.</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5º - Fica vedado o recebimento de qualquer vantagem ou valor financeiro proveniente do processo de desfazimento dos materiais objeto desta resolução.</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6º - No ano em que se realizar eleição municipal, estadual ou federal, a doação, de que trata o artigo 4º desta resolução, deverá ser suspensa, por força do parágrafo 10 do artigo 73, da Lei federal nº 9.504, de 30 de setembro de 1997, devendo ser retomada no ano subsequente, exceto no caso de doação ao FUSSESP.</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7º - Os casos omissos ou excepcionais serão analisados pelo Grupo de Trabalho de Material Excedente - GTMEX.</w:t>
      </w: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r w:rsidRPr="00BA3650">
        <w:rPr>
          <w:rFonts w:ascii="Verdana" w:eastAsia="Calibri" w:hAnsi="Verdana" w:cs="Frutiger-Cn"/>
          <w:sz w:val="20"/>
          <w:szCs w:val="20"/>
        </w:rPr>
        <w:t>Artigo 8º - Esta Resolução entra em vigor na data de sua publicação, ficando revogadas as disposições em contrário.</w:t>
      </w:r>
    </w:p>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120" w:line="240" w:lineRule="auto"/>
        <w:jc w:val="both"/>
        <w:rPr>
          <w:rFonts w:ascii="Verdana" w:eastAsia="Calibri" w:hAnsi="Verdana" w:cs="Frutiger-Cn"/>
          <w:sz w:val="20"/>
          <w:szCs w:val="20"/>
        </w:rPr>
      </w:pPr>
      <w:r w:rsidRPr="00BA3650">
        <w:rPr>
          <w:rFonts w:ascii="Verdana" w:eastAsia="Calibri" w:hAnsi="Verdana" w:cs="Frutiger-Cn"/>
          <w:sz w:val="20"/>
          <w:szCs w:val="20"/>
        </w:rPr>
        <w:t>ANEXO I</w:t>
      </w:r>
    </w:p>
    <w:tbl>
      <w:tblPr>
        <w:tblStyle w:val="Tabelacomgrade"/>
        <w:tblW w:w="0" w:type="auto"/>
        <w:tblInd w:w="0" w:type="dxa"/>
        <w:tblLook w:val="04A0" w:firstRow="1" w:lastRow="0" w:firstColumn="1" w:lastColumn="0" w:noHBand="0" w:noVBand="1"/>
      </w:tblPr>
      <w:tblGrid>
        <w:gridCol w:w="1132"/>
        <w:gridCol w:w="5476"/>
        <w:gridCol w:w="1886"/>
      </w:tblGrid>
      <w:tr w:rsidR="00BA3650" w:rsidRPr="00BA3650">
        <w:tc>
          <w:tcPr>
            <w:tcW w:w="9778" w:type="dxa"/>
            <w:gridSpan w:val="3"/>
            <w:tcBorders>
              <w:top w:val="single" w:sz="4" w:space="0" w:color="auto"/>
              <w:left w:val="single" w:sz="4" w:space="0" w:color="auto"/>
              <w:bottom w:val="single" w:sz="4" w:space="0" w:color="auto"/>
              <w:right w:val="single" w:sz="4" w:space="0" w:color="auto"/>
            </w:tcBorders>
            <w:hideMark/>
          </w:tcPr>
          <w:p w:rsidR="00BA3650" w:rsidRPr="00BA3650" w:rsidRDefault="00BA3650" w:rsidP="00BA3650">
            <w:pPr>
              <w:autoSpaceDE w:val="0"/>
              <w:autoSpaceDN w:val="0"/>
              <w:adjustRightInd w:val="0"/>
              <w:jc w:val="center"/>
            </w:pPr>
            <w:r w:rsidRPr="00BA3650">
              <w:rPr>
                <w:noProof/>
                <w:lang w:eastAsia="pt-BR"/>
              </w:rPr>
              <w:drawing>
                <wp:inline distT="0" distB="0" distL="0" distR="0" wp14:anchorId="02AE5C30" wp14:editId="1D194A35">
                  <wp:extent cx="828675" cy="9906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p w:rsidR="00BA3650" w:rsidRPr="00BA3650" w:rsidRDefault="00BA3650" w:rsidP="00BA3650">
            <w:pPr>
              <w:autoSpaceDE w:val="0"/>
              <w:autoSpaceDN w:val="0"/>
              <w:adjustRightInd w:val="0"/>
              <w:jc w:val="center"/>
            </w:pPr>
            <w:r w:rsidRPr="00BA3650">
              <w:t>SECRETARIA DE ESTADO DA EDUCAÇÃO</w:t>
            </w:r>
          </w:p>
        </w:tc>
      </w:tr>
      <w:tr w:rsidR="00BA3650" w:rsidRPr="00BA3650">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UNIDADE ESCOLAR:</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DIRETORIA DE ENSINO/REGIÃO: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MATERIAL ACUMULADO NO: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ENDEREÇO: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CIDADE:                                      CEP:</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FONE: (  )                                    FAX:</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E-MAIL:</w:t>
            </w:r>
          </w:p>
          <w:p w:rsidR="00BA3650" w:rsidRPr="00BA3650" w:rsidRDefault="00BA3650" w:rsidP="00BA3650">
            <w:pPr>
              <w:autoSpaceDE w:val="0"/>
              <w:autoSpaceDN w:val="0"/>
              <w:adjustRightInd w:val="0"/>
              <w:jc w:val="both"/>
              <w:rPr>
                <w:rFonts w:ascii="Verdana" w:hAnsi="Verdana" w:cs="Frutiger-Cn"/>
                <w:sz w:val="20"/>
                <w:szCs w:val="20"/>
              </w:rPr>
            </w:pPr>
          </w:p>
        </w:tc>
      </w:tr>
      <w:tr w:rsidR="00BA3650" w:rsidRPr="00BA3650">
        <w:trPr>
          <w:trHeight w:val="461"/>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RELAÇÃO DE DESFAZIMENTO – ANEXO I</w:t>
            </w:r>
          </w:p>
        </w:tc>
      </w:tr>
      <w:tr w:rsidR="00BA3650" w:rsidRPr="00BA3650">
        <w:tc>
          <w:tcPr>
            <w:tcW w:w="1242"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ITEM</w:t>
            </w:r>
          </w:p>
        </w:tc>
        <w:tc>
          <w:tcPr>
            <w:tcW w:w="6521"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Especificação do Material</w:t>
            </w:r>
          </w:p>
        </w:tc>
        <w:tc>
          <w:tcPr>
            <w:tcW w:w="2015"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Peso aproximado</w:t>
            </w:r>
          </w:p>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em Kg</w:t>
            </w:r>
          </w:p>
        </w:tc>
      </w:tr>
      <w:tr w:rsidR="00BA3650" w:rsidRPr="00BA3650">
        <w:tc>
          <w:tcPr>
            <w:tcW w:w="1242"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6521"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2015"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r>
      <w:tr w:rsidR="00BA3650" w:rsidRPr="00BA3650">
        <w:trPr>
          <w:trHeight w:val="996"/>
        </w:trPr>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__</w:t>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t>__________________        ___________________       ______________     ___/___/___</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COMISSÃO INTERNA-UE         COMISSÃO INTERNA-UE          DIRETOR-UE                 DATA</w:t>
            </w:r>
          </w:p>
          <w:p w:rsidR="00BA3650" w:rsidRPr="00BA3650" w:rsidRDefault="00BA3650" w:rsidP="00BA3650">
            <w:pPr>
              <w:autoSpaceDE w:val="0"/>
              <w:autoSpaceDN w:val="0"/>
              <w:adjustRightInd w:val="0"/>
              <w:spacing w:before="120"/>
              <w:jc w:val="both"/>
              <w:rPr>
                <w:rFonts w:ascii="Verdana" w:hAnsi="Verdana" w:cs="Frutiger-Cn"/>
                <w:sz w:val="20"/>
                <w:szCs w:val="20"/>
              </w:rPr>
            </w:pPr>
          </w:p>
        </w:tc>
      </w:tr>
    </w:tbl>
    <w:p w:rsidR="00BA3650" w:rsidRPr="00BA3650" w:rsidRDefault="00BA3650" w:rsidP="00BA3650">
      <w:pPr>
        <w:autoSpaceDE w:val="0"/>
        <w:autoSpaceDN w:val="0"/>
        <w:adjustRightInd w:val="0"/>
        <w:spacing w:after="0" w:line="240" w:lineRule="auto"/>
        <w:jc w:val="both"/>
        <w:rPr>
          <w:rFonts w:ascii="Verdana" w:eastAsia="Calibri" w:hAnsi="Verdana" w:cs="Frutiger-Cn"/>
          <w:sz w:val="16"/>
          <w:szCs w:val="16"/>
        </w:rPr>
      </w:pPr>
      <w:r w:rsidRPr="00BA3650">
        <w:rPr>
          <w:rFonts w:ascii="Verdana" w:eastAsia="Calibri" w:hAnsi="Verdana" w:cs="Frutiger-Cn"/>
          <w:sz w:val="16"/>
          <w:szCs w:val="16"/>
        </w:rPr>
        <w:t>Anexo I – Unidade Escolar</w:t>
      </w:r>
    </w:p>
    <w:p w:rsidR="00BA3650" w:rsidRPr="00BA3650" w:rsidRDefault="00BA3650" w:rsidP="00BA3650">
      <w:pPr>
        <w:autoSpaceDE w:val="0"/>
        <w:autoSpaceDN w:val="0"/>
        <w:adjustRightInd w:val="0"/>
        <w:spacing w:after="120" w:line="240" w:lineRule="auto"/>
        <w:jc w:val="both"/>
        <w:rPr>
          <w:rFonts w:ascii="Verdana" w:eastAsia="Calibri" w:hAnsi="Verdana" w:cs="Frutiger-Cn"/>
          <w:sz w:val="20"/>
          <w:szCs w:val="20"/>
        </w:rPr>
      </w:pPr>
    </w:p>
    <w:p w:rsidR="00BA3650" w:rsidRPr="00BA3650" w:rsidRDefault="00BA3650" w:rsidP="00BA3650">
      <w:pPr>
        <w:autoSpaceDE w:val="0"/>
        <w:autoSpaceDN w:val="0"/>
        <w:adjustRightInd w:val="0"/>
        <w:spacing w:after="120" w:line="240" w:lineRule="auto"/>
        <w:jc w:val="both"/>
        <w:rPr>
          <w:rFonts w:ascii="Verdana" w:eastAsia="Calibri" w:hAnsi="Verdana" w:cs="Frutiger-Cn"/>
          <w:sz w:val="20"/>
          <w:szCs w:val="20"/>
        </w:rPr>
      </w:pPr>
      <w:r w:rsidRPr="00BA3650">
        <w:rPr>
          <w:rFonts w:ascii="Verdana" w:eastAsia="Calibri" w:hAnsi="Verdana" w:cs="Frutiger-Cn"/>
          <w:sz w:val="20"/>
          <w:szCs w:val="20"/>
        </w:rPr>
        <w:t>ANEXO II</w:t>
      </w:r>
    </w:p>
    <w:tbl>
      <w:tblPr>
        <w:tblStyle w:val="Tabelacomgrade"/>
        <w:tblW w:w="0" w:type="auto"/>
        <w:tblInd w:w="0" w:type="dxa"/>
        <w:tblLook w:val="04A0" w:firstRow="1" w:lastRow="0" w:firstColumn="1" w:lastColumn="0" w:noHBand="0" w:noVBand="1"/>
      </w:tblPr>
      <w:tblGrid>
        <w:gridCol w:w="1132"/>
        <w:gridCol w:w="5476"/>
        <w:gridCol w:w="1886"/>
      </w:tblGrid>
      <w:tr w:rsidR="00BA3650" w:rsidRPr="00BA3650">
        <w:trPr>
          <w:trHeight w:val="1734"/>
        </w:trPr>
        <w:tc>
          <w:tcPr>
            <w:tcW w:w="9778" w:type="dxa"/>
            <w:gridSpan w:val="3"/>
            <w:tcBorders>
              <w:top w:val="single" w:sz="4" w:space="0" w:color="auto"/>
              <w:left w:val="single" w:sz="4" w:space="0" w:color="auto"/>
              <w:bottom w:val="single" w:sz="4" w:space="0" w:color="auto"/>
              <w:right w:val="single" w:sz="4" w:space="0" w:color="auto"/>
            </w:tcBorders>
            <w:hideMark/>
          </w:tcPr>
          <w:p w:rsidR="00BA3650" w:rsidRPr="00BA3650" w:rsidRDefault="00BA3650" w:rsidP="00BA3650">
            <w:pPr>
              <w:autoSpaceDE w:val="0"/>
              <w:autoSpaceDN w:val="0"/>
              <w:adjustRightInd w:val="0"/>
              <w:jc w:val="center"/>
            </w:pPr>
            <w:r w:rsidRPr="00BA3650">
              <w:rPr>
                <w:noProof/>
                <w:lang w:eastAsia="pt-BR"/>
              </w:rPr>
              <w:drawing>
                <wp:inline distT="0" distB="0" distL="0" distR="0" wp14:anchorId="76134320" wp14:editId="6CA4989E">
                  <wp:extent cx="828675" cy="9906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p w:rsidR="00BA3650" w:rsidRPr="00BA3650" w:rsidRDefault="00BA3650" w:rsidP="00BA3650">
            <w:pPr>
              <w:autoSpaceDE w:val="0"/>
              <w:autoSpaceDN w:val="0"/>
              <w:adjustRightInd w:val="0"/>
              <w:jc w:val="center"/>
            </w:pPr>
            <w:r w:rsidRPr="00BA3650">
              <w:t>SECRETARIA DE ESTADO DA EDUCAÇÃO</w:t>
            </w:r>
          </w:p>
        </w:tc>
      </w:tr>
      <w:tr w:rsidR="00BA3650" w:rsidRPr="00BA3650">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DIRETORIA DE ENSINO/REGIÃO: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MATERIAL ACUMULADO NO: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ENDEREÇO: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CIDADE:                                      CEP:</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FONE: (  )                                    FAX:</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E-MAIL:</w:t>
            </w:r>
          </w:p>
          <w:p w:rsidR="00BA3650" w:rsidRPr="00BA3650" w:rsidRDefault="00BA3650" w:rsidP="00BA3650">
            <w:pPr>
              <w:autoSpaceDE w:val="0"/>
              <w:autoSpaceDN w:val="0"/>
              <w:adjustRightInd w:val="0"/>
              <w:jc w:val="both"/>
              <w:rPr>
                <w:rFonts w:ascii="Verdana" w:hAnsi="Verdana" w:cs="Frutiger-Cn"/>
                <w:sz w:val="20"/>
                <w:szCs w:val="20"/>
              </w:rPr>
            </w:pPr>
          </w:p>
        </w:tc>
      </w:tr>
      <w:tr w:rsidR="00BA3650" w:rsidRPr="00BA3650">
        <w:trPr>
          <w:trHeight w:val="497"/>
        </w:trPr>
        <w:tc>
          <w:tcPr>
            <w:tcW w:w="9778" w:type="dxa"/>
            <w:gridSpan w:val="3"/>
            <w:tcBorders>
              <w:top w:val="single" w:sz="4" w:space="0" w:color="auto"/>
              <w:left w:val="single" w:sz="4" w:space="0" w:color="auto"/>
              <w:bottom w:val="single" w:sz="4" w:space="0" w:color="auto"/>
              <w:right w:val="single" w:sz="4" w:space="0" w:color="auto"/>
            </w:tcBorders>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RELATÓRIO DE DESFAZIMENTO – ANEXO II</w:t>
            </w:r>
          </w:p>
        </w:tc>
      </w:tr>
      <w:tr w:rsidR="00BA3650" w:rsidRPr="00BA3650">
        <w:tc>
          <w:tcPr>
            <w:tcW w:w="1242"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ITEM</w:t>
            </w:r>
          </w:p>
        </w:tc>
        <w:tc>
          <w:tcPr>
            <w:tcW w:w="6521"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Especificação do Material</w:t>
            </w:r>
          </w:p>
        </w:tc>
        <w:tc>
          <w:tcPr>
            <w:tcW w:w="2015"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Peso aproximado</w:t>
            </w:r>
          </w:p>
          <w:p w:rsidR="00BA3650" w:rsidRPr="00BA3650" w:rsidRDefault="00BA3650" w:rsidP="00BA3650">
            <w:pPr>
              <w:autoSpaceDE w:val="0"/>
              <w:autoSpaceDN w:val="0"/>
              <w:adjustRightInd w:val="0"/>
              <w:jc w:val="center"/>
              <w:rPr>
                <w:rFonts w:ascii="Verdana" w:hAnsi="Verdana" w:cs="Frutiger-Cn"/>
                <w:sz w:val="20"/>
                <w:szCs w:val="20"/>
              </w:rPr>
            </w:pPr>
            <w:r w:rsidRPr="00BA3650">
              <w:rPr>
                <w:rFonts w:ascii="Verdana" w:hAnsi="Verdana" w:cs="Frutiger-Cn"/>
                <w:sz w:val="20"/>
                <w:szCs w:val="20"/>
              </w:rPr>
              <w:t>em Kg</w:t>
            </w:r>
          </w:p>
        </w:tc>
      </w:tr>
      <w:tr w:rsidR="00BA3650" w:rsidRPr="00BA3650">
        <w:tc>
          <w:tcPr>
            <w:tcW w:w="1242"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6521"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2015"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r>
      <w:tr w:rsidR="00BA3650" w:rsidRPr="00BA3650">
        <w:trPr>
          <w:trHeight w:val="860"/>
        </w:trPr>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__</w:t>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t>_____________       _________________      __________________           ___/___/___</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 xml:space="preserve">  MEMBRO EAMEX           MEMBRO EAMEX          DIRIGENTE REGIONAL                DATA</w:t>
            </w:r>
          </w:p>
          <w:p w:rsidR="00BA3650" w:rsidRPr="00BA3650" w:rsidRDefault="00BA3650" w:rsidP="00BA3650">
            <w:pPr>
              <w:autoSpaceDE w:val="0"/>
              <w:autoSpaceDN w:val="0"/>
              <w:adjustRightInd w:val="0"/>
              <w:spacing w:before="120"/>
              <w:jc w:val="both"/>
              <w:rPr>
                <w:rFonts w:ascii="Verdana" w:hAnsi="Verdana" w:cs="Frutiger-Cn"/>
                <w:sz w:val="20"/>
                <w:szCs w:val="20"/>
              </w:rPr>
            </w:pPr>
          </w:p>
        </w:tc>
      </w:tr>
    </w:tbl>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16"/>
          <w:szCs w:val="16"/>
        </w:rPr>
      </w:pPr>
      <w:r w:rsidRPr="00BA3650">
        <w:rPr>
          <w:rFonts w:ascii="Verdana" w:eastAsia="Calibri" w:hAnsi="Verdana" w:cs="Frutiger-Cn"/>
          <w:sz w:val="16"/>
          <w:szCs w:val="16"/>
        </w:rPr>
        <w:t>ANEXO II – DIRETORIA DE ENSINO</w:t>
      </w:r>
    </w:p>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16"/>
          <w:szCs w:val="16"/>
        </w:rPr>
      </w:pPr>
    </w:p>
    <w:p w:rsidR="00BA3650" w:rsidRPr="00BA3650" w:rsidRDefault="00BA3650" w:rsidP="00BA3650">
      <w:pPr>
        <w:autoSpaceDE w:val="0"/>
        <w:autoSpaceDN w:val="0"/>
        <w:adjustRightInd w:val="0"/>
        <w:spacing w:before="120" w:after="120" w:line="240" w:lineRule="auto"/>
        <w:jc w:val="both"/>
        <w:rPr>
          <w:rFonts w:ascii="Verdana" w:eastAsia="Calibri" w:hAnsi="Verdana" w:cs="Frutiger-Cn"/>
          <w:sz w:val="16"/>
          <w:szCs w:val="16"/>
        </w:rPr>
      </w:pPr>
      <w:r w:rsidRPr="00BA3650">
        <w:rPr>
          <w:rFonts w:ascii="Verdana" w:eastAsia="Calibri" w:hAnsi="Verdana" w:cs="Frutiger-Cn"/>
          <w:sz w:val="16"/>
          <w:szCs w:val="16"/>
        </w:rPr>
        <w:t>ANEXO III</w:t>
      </w:r>
    </w:p>
    <w:tbl>
      <w:tblPr>
        <w:tblStyle w:val="Tabelacomgrade"/>
        <w:tblW w:w="0" w:type="auto"/>
        <w:tblInd w:w="0" w:type="dxa"/>
        <w:tblLook w:val="04A0" w:firstRow="1" w:lastRow="0" w:firstColumn="1" w:lastColumn="0" w:noHBand="0" w:noVBand="1"/>
      </w:tblPr>
      <w:tblGrid>
        <w:gridCol w:w="1134"/>
        <w:gridCol w:w="5491"/>
        <w:gridCol w:w="1869"/>
      </w:tblGrid>
      <w:tr w:rsidR="00BA3650" w:rsidRPr="00BA3650">
        <w:trPr>
          <w:trHeight w:val="1731"/>
        </w:trPr>
        <w:tc>
          <w:tcPr>
            <w:tcW w:w="9778" w:type="dxa"/>
            <w:gridSpan w:val="3"/>
            <w:tcBorders>
              <w:top w:val="single" w:sz="4" w:space="0" w:color="auto"/>
              <w:left w:val="single" w:sz="4" w:space="0" w:color="auto"/>
              <w:bottom w:val="single" w:sz="4" w:space="0" w:color="auto"/>
              <w:right w:val="single" w:sz="4" w:space="0" w:color="auto"/>
            </w:tcBorders>
            <w:hideMark/>
          </w:tcPr>
          <w:p w:rsidR="00BA3650" w:rsidRPr="00BA3650" w:rsidRDefault="00BA3650" w:rsidP="00BA3650">
            <w:pPr>
              <w:autoSpaceDE w:val="0"/>
              <w:autoSpaceDN w:val="0"/>
              <w:adjustRightInd w:val="0"/>
              <w:jc w:val="center"/>
            </w:pPr>
            <w:r w:rsidRPr="00BA3650">
              <w:rPr>
                <w:noProof/>
                <w:lang w:eastAsia="pt-BR"/>
              </w:rPr>
              <w:drawing>
                <wp:inline distT="0" distB="0" distL="0" distR="0" wp14:anchorId="5C030A7A" wp14:editId="0658301C">
                  <wp:extent cx="828675" cy="9906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p w:rsidR="00BA3650" w:rsidRPr="00BA3650" w:rsidRDefault="00BA3650" w:rsidP="00BA3650">
            <w:pPr>
              <w:autoSpaceDE w:val="0"/>
              <w:autoSpaceDN w:val="0"/>
              <w:adjustRightInd w:val="0"/>
              <w:jc w:val="center"/>
            </w:pPr>
            <w:r w:rsidRPr="00BA3650">
              <w:t>SECRETARIA DE ESTADO DA EDUCAÇÃO</w:t>
            </w:r>
          </w:p>
        </w:tc>
      </w:tr>
      <w:tr w:rsidR="00BA3650" w:rsidRPr="00BA3650">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ÓRGÃO CENTRAL:</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MATERIAL ACUMULADO NO: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ENDEREÇO:</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CIDADE:                                  CEP:</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FONE: ( )                                 FAX:</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E-MAIL:</w:t>
            </w:r>
          </w:p>
          <w:p w:rsidR="00BA3650" w:rsidRPr="00BA3650" w:rsidRDefault="00BA3650" w:rsidP="00BA3650">
            <w:pPr>
              <w:autoSpaceDE w:val="0"/>
              <w:autoSpaceDN w:val="0"/>
              <w:adjustRightInd w:val="0"/>
              <w:jc w:val="both"/>
              <w:rPr>
                <w:rFonts w:ascii="Verdana" w:hAnsi="Verdana" w:cs="Frutiger-Cn"/>
                <w:sz w:val="20"/>
                <w:szCs w:val="20"/>
              </w:rPr>
            </w:pPr>
          </w:p>
        </w:tc>
      </w:tr>
      <w:tr w:rsidR="00BA3650" w:rsidRPr="00BA3650">
        <w:trPr>
          <w:trHeight w:val="423"/>
        </w:trPr>
        <w:tc>
          <w:tcPr>
            <w:tcW w:w="9778" w:type="dxa"/>
            <w:gridSpan w:val="3"/>
            <w:tcBorders>
              <w:top w:val="single" w:sz="4" w:space="0" w:color="auto"/>
              <w:left w:val="single" w:sz="4" w:space="0" w:color="auto"/>
              <w:bottom w:val="single" w:sz="4" w:space="0" w:color="auto"/>
              <w:right w:val="single" w:sz="4" w:space="0" w:color="auto"/>
            </w:tcBorders>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RELATÓRIO DE DESFAZIMENTO – ANEXO III</w:t>
            </w:r>
          </w:p>
        </w:tc>
      </w:tr>
      <w:tr w:rsidR="00BA3650" w:rsidRPr="00BA3650">
        <w:tc>
          <w:tcPr>
            <w:tcW w:w="1242"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ITEM</w:t>
            </w:r>
          </w:p>
        </w:tc>
        <w:tc>
          <w:tcPr>
            <w:tcW w:w="6521"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Especificação do Material</w:t>
            </w:r>
          </w:p>
        </w:tc>
        <w:tc>
          <w:tcPr>
            <w:tcW w:w="2015" w:type="dxa"/>
            <w:tcBorders>
              <w:top w:val="single" w:sz="4" w:space="0" w:color="auto"/>
              <w:left w:val="single" w:sz="4" w:space="0" w:color="auto"/>
              <w:bottom w:val="single" w:sz="4" w:space="0" w:color="auto"/>
              <w:right w:val="single" w:sz="4" w:space="0" w:color="auto"/>
            </w:tcBorders>
            <w:vAlign w:val="center"/>
            <w:hideMark/>
          </w:tcPr>
          <w:p w:rsidR="00BA3650" w:rsidRPr="00BA3650" w:rsidRDefault="00BA3650" w:rsidP="00BA3650">
            <w:pPr>
              <w:autoSpaceDE w:val="0"/>
              <w:autoSpaceDN w:val="0"/>
              <w:adjustRightInd w:val="0"/>
              <w:spacing w:before="120"/>
              <w:jc w:val="center"/>
              <w:rPr>
                <w:rFonts w:ascii="Verdana" w:hAnsi="Verdana" w:cs="Frutiger-Cn"/>
                <w:sz w:val="20"/>
                <w:szCs w:val="20"/>
              </w:rPr>
            </w:pPr>
            <w:r w:rsidRPr="00BA3650">
              <w:rPr>
                <w:rFonts w:ascii="Verdana" w:hAnsi="Verdana" w:cs="Frutiger-Cn"/>
                <w:sz w:val="20"/>
                <w:szCs w:val="20"/>
              </w:rPr>
              <w:t>Peso acumulado em Kg</w:t>
            </w:r>
          </w:p>
        </w:tc>
      </w:tr>
      <w:tr w:rsidR="00BA3650" w:rsidRPr="00BA3650">
        <w:tc>
          <w:tcPr>
            <w:tcW w:w="1242"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6521"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c>
          <w:tcPr>
            <w:tcW w:w="2015" w:type="dxa"/>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spacing w:before="120"/>
              <w:jc w:val="both"/>
              <w:rPr>
                <w:rFonts w:ascii="Verdana" w:hAnsi="Verdana" w:cs="Frutiger-Cn"/>
                <w:sz w:val="20"/>
                <w:szCs w:val="20"/>
              </w:rPr>
            </w:pPr>
          </w:p>
        </w:tc>
      </w:tr>
      <w:tr w:rsidR="00BA3650" w:rsidRPr="00BA3650">
        <w:trPr>
          <w:trHeight w:val="903"/>
        </w:trPr>
        <w:tc>
          <w:tcPr>
            <w:tcW w:w="9778" w:type="dxa"/>
            <w:gridSpan w:val="3"/>
            <w:tcBorders>
              <w:top w:val="single" w:sz="4" w:space="0" w:color="auto"/>
              <w:left w:val="single" w:sz="4" w:space="0" w:color="auto"/>
              <w:bottom w:val="single" w:sz="4" w:space="0" w:color="auto"/>
              <w:right w:val="single" w:sz="4" w:space="0" w:color="auto"/>
            </w:tcBorders>
          </w:tcPr>
          <w:p w:rsidR="00BA3650" w:rsidRPr="00BA3650" w:rsidRDefault="00BA3650" w:rsidP="00BA3650">
            <w:pPr>
              <w:autoSpaceDE w:val="0"/>
              <w:autoSpaceDN w:val="0"/>
              <w:adjustRightInd w:val="0"/>
              <w:jc w:val="both"/>
              <w:rPr>
                <w:rFonts w:ascii="Verdana" w:hAnsi="Verdana" w:cs="Frutiger-Cn"/>
                <w:sz w:val="20"/>
                <w:szCs w:val="20"/>
              </w:rPr>
            </w:pP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__</w:t>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r>
            <w:r w:rsidRPr="00BA3650">
              <w:rPr>
                <w:rFonts w:ascii="Verdana" w:hAnsi="Verdana" w:cs="Frutiger-Cn"/>
                <w:sz w:val="20"/>
                <w:szCs w:val="20"/>
              </w:rPr>
              <w:softHyphen/>
              <w:t>_____________       _________________      ____________________          ___/___/___</w:t>
            </w:r>
          </w:p>
          <w:p w:rsidR="00BA3650" w:rsidRPr="00BA3650" w:rsidRDefault="00BA3650" w:rsidP="00BA3650">
            <w:pPr>
              <w:autoSpaceDE w:val="0"/>
              <w:autoSpaceDN w:val="0"/>
              <w:adjustRightInd w:val="0"/>
              <w:jc w:val="both"/>
              <w:rPr>
                <w:rFonts w:ascii="Verdana" w:hAnsi="Verdana" w:cs="Frutiger-Cn"/>
                <w:sz w:val="20"/>
                <w:szCs w:val="20"/>
              </w:rPr>
            </w:pPr>
            <w:r w:rsidRPr="00BA3650">
              <w:rPr>
                <w:rFonts w:ascii="Verdana" w:hAnsi="Verdana" w:cs="Frutiger-Cn"/>
                <w:sz w:val="20"/>
                <w:szCs w:val="20"/>
              </w:rPr>
              <w:t xml:space="preserve">  MEMBRO GTMEX           MEMBRO GTMEX          AUTORIDADE DO ÓRGÃO                DATA</w:t>
            </w:r>
          </w:p>
          <w:p w:rsidR="00BA3650" w:rsidRPr="00BA3650" w:rsidRDefault="00BA3650" w:rsidP="00BA3650">
            <w:pPr>
              <w:autoSpaceDE w:val="0"/>
              <w:autoSpaceDN w:val="0"/>
              <w:adjustRightInd w:val="0"/>
              <w:spacing w:before="120"/>
              <w:jc w:val="both"/>
              <w:rPr>
                <w:rFonts w:ascii="Verdana" w:hAnsi="Verdana" w:cs="Frutiger-Cn"/>
                <w:sz w:val="20"/>
                <w:szCs w:val="20"/>
              </w:rPr>
            </w:pPr>
          </w:p>
        </w:tc>
      </w:tr>
    </w:tbl>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16"/>
          <w:szCs w:val="16"/>
        </w:rPr>
      </w:pPr>
      <w:r w:rsidRPr="00BA3650">
        <w:rPr>
          <w:rFonts w:ascii="Verdana" w:eastAsia="Calibri" w:hAnsi="Verdana" w:cs="Frutiger-Cn"/>
          <w:sz w:val="16"/>
          <w:szCs w:val="16"/>
        </w:rPr>
        <w:t>ANEXO III – ÓRGÃO CENTRAL DETENTOR DO MATERIAL</w:t>
      </w:r>
    </w:p>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jc w:val="both"/>
        <w:rPr>
          <w:rFonts w:ascii="Verdana" w:eastAsia="Calibri" w:hAnsi="Verdana" w:cs="Frutiger-Cn"/>
          <w:sz w:val="20"/>
          <w:szCs w:val="20"/>
        </w:rPr>
      </w:pPr>
      <w:r w:rsidRPr="00BA3650">
        <w:rPr>
          <w:rFonts w:ascii="Verdana" w:eastAsia="Calibri" w:hAnsi="Verdana" w:cs="Frutiger-Cn"/>
          <w:sz w:val="20"/>
          <w:szCs w:val="20"/>
        </w:rPr>
        <w:t>Notas:</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Decreto Federal nº 7.084/10;</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Decreto Estadual nº 27.041/87;</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Decreto Estadual nº 27.163/87.</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Lei Federal nº 10.753/03;</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Lei Federal nº 9.504/97;</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Lei Estadual nº 7.396/91;</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Lei Estadual nº 14.470/11;</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Resolução FNDE/CD nº 30/06;</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r w:rsidRPr="00BA3650">
        <w:rPr>
          <w:rFonts w:ascii="Verdana" w:eastAsia="Calibri" w:hAnsi="Verdana" w:cs="Frutiger-Cn"/>
          <w:sz w:val="20"/>
          <w:szCs w:val="20"/>
        </w:rPr>
        <w:t>Resolução FNDE/ CD nº 42/12;</w:t>
      </w:r>
    </w:p>
    <w:p w:rsidR="00BA3650" w:rsidRPr="00BA3650" w:rsidRDefault="00BA3650" w:rsidP="00BA3650">
      <w:pPr>
        <w:autoSpaceDE w:val="0"/>
        <w:autoSpaceDN w:val="0"/>
        <w:adjustRightInd w:val="0"/>
        <w:spacing w:after="0" w:line="240" w:lineRule="auto"/>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Frutiger-C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BA3650" w:rsidRPr="00BA3650" w:rsidRDefault="00BA3650" w:rsidP="00BA3650">
      <w:pPr>
        <w:autoSpaceDE w:val="0"/>
        <w:autoSpaceDN w:val="0"/>
        <w:adjustRightInd w:val="0"/>
        <w:spacing w:before="120" w:after="0" w:line="240" w:lineRule="auto"/>
        <w:ind w:firstLine="709"/>
        <w:jc w:val="both"/>
        <w:rPr>
          <w:rFonts w:ascii="Verdana" w:eastAsia="Calibri" w:hAnsi="Verdana" w:cs="Times New Roman"/>
          <w:sz w:val="20"/>
          <w:szCs w:val="20"/>
        </w:rPr>
      </w:pPr>
    </w:p>
    <w:p w:rsidR="00346C96" w:rsidRDefault="00346C96" w:rsidP="00BA3650"/>
    <w:sectPr w:rsidR="00346C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oldCn">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50"/>
    <w:rsid w:val="00346C96"/>
    <w:rsid w:val="00BA3650"/>
    <w:rsid w:val="00F457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69C0C-6AB9-4B69-92C5-B69CC0BC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unhideWhenUsed/>
    <w:rsid w:val="00BA36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Fagotti Soares</dc:creator>
  <cp:keywords/>
  <dc:description/>
  <cp:lastModifiedBy>Gracielle Cristina Vieira De Mattos</cp:lastModifiedBy>
  <cp:revision>2</cp:revision>
  <dcterms:created xsi:type="dcterms:W3CDTF">2017-05-10T13:24:00Z</dcterms:created>
  <dcterms:modified xsi:type="dcterms:W3CDTF">2017-05-10T13:24:00Z</dcterms:modified>
</cp:coreProperties>
</file>