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  <w:bookmarkStart w:id="0" w:name="page1"/>
      <w:bookmarkEnd w:id="0"/>
      <w:r>
        <w:rPr>
          <w:noProof/>
          <w:lang w:eastAsia="pt-BR"/>
        </w:rPr>
        <w:drawing>
          <wp:anchor distT="0" distB="0" distL="114300" distR="114300" simplePos="0" relativeHeight="251659264" behindDoc="1" locked="0" layoutInCell="0" allowOverlap="1" wp14:anchorId="44DE53B1" wp14:editId="203D8006">
            <wp:simplePos x="0" y="0"/>
            <wp:positionH relativeFrom="page">
              <wp:posOffset>-185420</wp:posOffset>
            </wp:positionH>
            <wp:positionV relativeFrom="page">
              <wp:posOffset>-214630</wp:posOffset>
            </wp:positionV>
            <wp:extent cx="7508240" cy="1051306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8240" cy="10513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4053">
      <w:pPr>
        <w:tabs>
          <w:tab w:val="left" w:pos="3705"/>
        </w:tabs>
        <w:rPr>
          <w:b/>
          <w:color w:val="FF0000"/>
          <w:sz w:val="24"/>
          <w:szCs w:val="24"/>
          <w:u w:val="single"/>
        </w:rPr>
      </w:pPr>
    </w:p>
    <w:p w:rsidR="00194053" w:rsidRDefault="00194053" w:rsidP="00194053">
      <w:pPr>
        <w:tabs>
          <w:tab w:val="left" w:pos="3705"/>
        </w:tabs>
        <w:rPr>
          <w:b/>
          <w:color w:val="FF0000"/>
          <w:sz w:val="24"/>
          <w:szCs w:val="24"/>
          <w:u w:val="single"/>
        </w:rPr>
      </w:pPr>
      <w:bookmarkStart w:id="1" w:name="_GoBack"/>
      <w:bookmarkEnd w:id="1"/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1956E6">
      <w:pPr>
        <w:jc w:val="center"/>
        <w:rPr>
          <w:b/>
          <w:color w:val="FF0000"/>
          <w:sz w:val="24"/>
          <w:szCs w:val="24"/>
          <w:u w:val="single"/>
        </w:rPr>
      </w:pPr>
    </w:p>
    <w:p w:rsidR="00D038C6" w:rsidRDefault="00D038C6" w:rsidP="00D038C6">
      <w:pPr>
        <w:rPr>
          <w:b/>
          <w:color w:val="FF0000"/>
          <w:sz w:val="24"/>
          <w:szCs w:val="24"/>
          <w:u w:val="single"/>
        </w:rPr>
      </w:pPr>
    </w:p>
    <w:p w:rsidR="001956E6" w:rsidRPr="001956E6" w:rsidRDefault="001956E6" w:rsidP="001956E6">
      <w:pPr>
        <w:jc w:val="center"/>
        <w:rPr>
          <w:b/>
          <w:color w:val="FF0000"/>
          <w:sz w:val="24"/>
          <w:szCs w:val="24"/>
          <w:u w:val="single"/>
        </w:rPr>
      </w:pPr>
      <w:r w:rsidRPr="001956E6">
        <w:rPr>
          <w:b/>
          <w:color w:val="FF0000"/>
          <w:sz w:val="24"/>
          <w:szCs w:val="24"/>
          <w:u w:val="single"/>
        </w:rPr>
        <w:t>DESINCOMPATIBILIZAÇÃO ELEITORAL</w:t>
      </w:r>
    </w:p>
    <w:p w:rsidR="00780FD2" w:rsidRDefault="00780FD2">
      <w:pPr>
        <w:rPr>
          <w:sz w:val="24"/>
          <w:szCs w:val="24"/>
        </w:rPr>
      </w:pPr>
      <w:r w:rsidRPr="00780FD2">
        <w:rPr>
          <w:sz w:val="24"/>
          <w:szCs w:val="24"/>
        </w:rPr>
        <w:t>Prezados Srs. Dirigentes Regionais</w:t>
      </w:r>
      <w:r>
        <w:rPr>
          <w:sz w:val="24"/>
          <w:szCs w:val="24"/>
        </w:rPr>
        <w:t xml:space="preserve"> </w:t>
      </w:r>
      <w:r w:rsidRPr="00780FD2">
        <w:rPr>
          <w:sz w:val="24"/>
          <w:szCs w:val="24"/>
        </w:rPr>
        <w:t xml:space="preserve">de Ensino e Diretores de CRH, 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t xml:space="preserve">Serve o presente para instruir quanto à uniformização dos procedimentos a serem adotados no período eleitoral do corrente ano, orientações essas elaboradas após consulta efetuada à Consultoria Jurídica da Pasta, disposições contidas na Lei federal nº 9.504, de 30/09/1997 e Comunicado UCRH 11/2016: 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t xml:space="preserve">I – Para efeito de desincompatibilização, o funcionário ou servidor poderá valer-se das seguintes alternativas: </w:t>
      </w:r>
    </w:p>
    <w:p w:rsidR="00780FD2" w:rsidRPr="00780FD2" w:rsidRDefault="00780FD2" w:rsidP="00780FD2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 w:rsidRPr="00780FD2">
        <w:rPr>
          <w:sz w:val="28"/>
          <w:szCs w:val="28"/>
        </w:rPr>
        <w:t xml:space="preserve">Afastamento remunerado, nos termos da Lei Complementar federal nº 64/90, do qual farão jus os Titulares de Cargo bem como os Ocupantes de Função Atividade, </w:t>
      </w:r>
      <w:proofErr w:type="gramStart"/>
      <w:r w:rsidRPr="00780FD2">
        <w:rPr>
          <w:sz w:val="28"/>
          <w:szCs w:val="28"/>
        </w:rPr>
        <w:t>no INFORMAÇÃO 06</w:t>
      </w:r>
      <w:proofErr w:type="gramEnd"/>
      <w:r w:rsidRPr="00780FD2">
        <w:rPr>
          <w:sz w:val="28"/>
          <w:szCs w:val="28"/>
        </w:rPr>
        <w:t xml:space="preserve"> Orientações sobre Desincompatibilização / Afastamento Eleitoral 8 </w:t>
      </w:r>
      <w:r w:rsidRPr="00E4102D">
        <w:rPr>
          <w:b/>
          <w:color w:val="FF0000"/>
          <w:sz w:val="28"/>
          <w:szCs w:val="28"/>
        </w:rPr>
        <w:t>período de</w:t>
      </w:r>
      <w:r w:rsidRPr="00780FD2">
        <w:rPr>
          <w:color w:val="FF0000"/>
          <w:sz w:val="28"/>
          <w:szCs w:val="28"/>
        </w:rPr>
        <w:t xml:space="preserve"> </w:t>
      </w:r>
      <w:r w:rsidRPr="00E4102D">
        <w:rPr>
          <w:b/>
          <w:color w:val="FF0000"/>
          <w:sz w:val="28"/>
          <w:szCs w:val="28"/>
        </w:rPr>
        <w:t>04/07 a 02/10/2016</w:t>
      </w:r>
      <w:r w:rsidRPr="00780FD2">
        <w:rPr>
          <w:sz w:val="28"/>
          <w:szCs w:val="28"/>
        </w:rPr>
        <w:t xml:space="preserve">, desde que estejam em exercício, no cargo ou na função na circunscrição do pleito; </w:t>
      </w:r>
    </w:p>
    <w:p w:rsidR="00780FD2" w:rsidRPr="00803644" w:rsidRDefault="00780FD2" w:rsidP="00803644">
      <w:pPr>
        <w:ind w:left="360"/>
        <w:jc w:val="both"/>
        <w:rPr>
          <w:sz w:val="28"/>
          <w:szCs w:val="28"/>
        </w:rPr>
      </w:pPr>
      <w:r w:rsidRPr="00803644">
        <w:rPr>
          <w:sz w:val="28"/>
          <w:szCs w:val="28"/>
        </w:rPr>
        <w:t xml:space="preserve">b) Férias, licença-prêmio ou licença sem </w:t>
      </w:r>
      <w:proofErr w:type="gramStart"/>
      <w:r w:rsidRPr="00803644">
        <w:rPr>
          <w:sz w:val="28"/>
          <w:szCs w:val="28"/>
        </w:rPr>
        <w:t>vencimentos(</w:t>
      </w:r>
      <w:proofErr w:type="gramEnd"/>
      <w:r w:rsidRPr="00803644">
        <w:rPr>
          <w:sz w:val="28"/>
          <w:szCs w:val="28"/>
        </w:rPr>
        <w:t>Res. TSE 18.208/92).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t xml:space="preserve"> II – O Professor Categoria O (contratado nos termos da Lei Complementar estadual nº 1.093/2009), para desincompatibilizar-se, terá seu contrato interrompido (interrupção de exercício). </w:t>
      </w:r>
    </w:p>
    <w:p w:rsidR="00780FD2" w:rsidRPr="002E04BD" w:rsidRDefault="00780FD2" w:rsidP="00780FD2">
      <w:pPr>
        <w:jc w:val="both"/>
        <w:rPr>
          <w:color w:val="FF0000"/>
          <w:sz w:val="28"/>
          <w:szCs w:val="28"/>
        </w:rPr>
      </w:pPr>
      <w:r w:rsidRPr="002E04BD">
        <w:rPr>
          <w:color w:val="FF0000"/>
          <w:sz w:val="28"/>
          <w:szCs w:val="28"/>
        </w:rPr>
        <w:t xml:space="preserve">Não haverá percepção de salário/vencimentos durante o afastamento e, após o retorno/término das eleições, retorna para as aulas anteriormente atribuídas. 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t>III - O funcionário ou servidor que optar pelo afastamento remunerado deverá solicitar a exoneração do cargo em comissão que esteja exercendo, bem como terá cessados os atos anteriores de designação ou afastamento nas seguintes</w:t>
      </w:r>
      <w:r w:rsidR="002E04BD">
        <w:rPr>
          <w:sz w:val="28"/>
          <w:szCs w:val="28"/>
        </w:rPr>
        <w:t xml:space="preserve"> </w:t>
      </w:r>
      <w:r w:rsidRPr="00780FD2">
        <w:rPr>
          <w:sz w:val="28"/>
          <w:szCs w:val="28"/>
        </w:rPr>
        <w:t xml:space="preserve">situações: 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t xml:space="preserve">a) para exercer atividades inerentes ou correlatas ao Magistério, nos termos do inciso II ou III, do artigo 64 da Lei Complementar nº 444, de 27/12/1985; 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t xml:space="preserve">b) junto às Diretorias de Ensino; 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t xml:space="preserve">c) junto a demais órgãos da pasta (Assistência, Núcleos Pedagógicos, etc.); d) junto ao CEEJA, CEL e PEI; 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t xml:space="preserve">e) para exercício de funções de direção, chefia ou </w:t>
      </w:r>
      <w:proofErr w:type="spellStart"/>
      <w:r w:rsidRPr="00780FD2">
        <w:rPr>
          <w:sz w:val="28"/>
          <w:szCs w:val="28"/>
        </w:rPr>
        <w:t>encarregatura</w:t>
      </w:r>
      <w:proofErr w:type="spellEnd"/>
      <w:r w:rsidRPr="00780FD2">
        <w:rPr>
          <w:sz w:val="28"/>
          <w:szCs w:val="28"/>
        </w:rPr>
        <w:t xml:space="preserve">; 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t xml:space="preserve">f) referente ao artigo 22, da Lei Complementar estadual nº 444/85 (Resolução SE nº 82/2013); 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t>g) afastamento para prestar serviço em outras unidades (T.R.E., órgãos da própria ou de outra pasta e conveniados com a Secretaria da Educação); e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t xml:space="preserve"> IV - Municipalização – será interrompido o afastamento, retornando ao convênio ao término do pleito. 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lastRenderedPageBreak/>
        <w:t xml:space="preserve">V – O Vice-Diretor de Escola fará jus ao afastamento nesta situação, perdendo a gratificação de função, devendo, no entanto, cessar a designação se em substituição ao Diretor de Escola. 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t>VI – O candidato à contratação que tiver aulas atribuídas e estiver concorrendo ao mandato eletivo não poderá assumir o exercício se as mesmas foram atribuídas em unidades</w:t>
      </w:r>
      <w:r w:rsidR="002E04BD">
        <w:rPr>
          <w:sz w:val="28"/>
          <w:szCs w:val="28"/>
        </w:rPr>
        <w:t xml:space="preserve"> </w:t>
      </w:r>
      <w:r w:rsidRPr="00780FD2">
        <w:rPr>
          <w:sz w:val="28"/>
          <w:szCs w:val="28"/>
        </w:rPr>
        <w:t>jurisdicionadas no município da candidatura e terá a atribuição reservada em 9 ata para início de exercício ao término do período de vedação, devendo assumi-las em 03/10/2016.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t xml:space="preserve"> VII – O servidor deverá ser cientificado do conteúdo do Parecer PA nº 43/2011 (anexo) que dispõe sobre afastamento para campanha Eleitoral, da inexistência de fundamento legal para computar-se, como tempo de efetivo exercício, o período em que afastar-se de seu trabalho para concorrer às Eleições, na seguinte conformidade: 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t xml:space="preserve">a) A Interrupção de lapso quinquenal para fins de licença prêmio; 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t xml:space="preserve">b) Suspensão da contagem em caso de ATS e 6ª Parte; 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t>c</w:t>
      </w:r>
      <w:r w:rsidRPr="00803644">
        <w:rPr>
          <w:color w:val="FF0000"/>
          <w:sz w:val="28"/>
          <w:szCs w:val="28"/>
        </w:rPr>
        <w:t xml:space="preserve">) Efetivo Exercício, para fins de aposentadoria, contará, somente, como tempo de contribuição. 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t xml:space="preserve">VIII – Com relação as Gratificações, estas deverão ser cessadas, no período em que o servidor não estiver em efetivo exercício do seu cargo/função, tais como: 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t xml:space="preserve">a) Gratificação de Gestão Educacional; 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t xml:space="preserve">b) Gratificação de Função; 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t xml:space="preserve">c) Gratificação Especial de Supervisor de Ensino; 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t xml:space="preserve">d) Gratificação de Dedicação Plena e Integral - GDPI IX – O funcionário ou servidor deverá apresentar ao superior imediato o comprovante de registro de sua candidatura, juntamente com o pedido de afastamento para garantir a percepção dos vencimentos ou salários. </w:t>
      </w:r>
    </w:p>
    <w:p w:rsidR="00780FD2" w:rsidRDefault="00780FD2" w:rsidP="00780FD2">
      <w:pPr>
        <w:jc w:val="both"/>
        <w:rPr>
          <w:sz w:val="28"/>
          <w:szCs w:val="28"/>
        </w:rPr>
      </w:pPr>
      <w:r w:rsidRPr="00780FD2">
        <w:rPr>
          <w:sz w:val="28"/>
          <w:szCs w:val="28"/>
        </w:rPr>
        <w:t xml:space="preserve">X – Se por algum motivo, deixar de concorrer às eleições, deverá assumir de imediato suas funções, arcando com as faltas por todo o período em que ficou afastado. </w:t>
      </w:r>
    </w:p>
    <w:p w:rsidR="00780FD2" w:rsidRDefault="00780FD2" w:rsidP="00780FD2">
      <w:pPr>
        <w:rPr>
          <w:sz w:val="28"/>
          <w:szCs w:val="28"/>
        </w:rPr>
      </w:pPr>
      <w:r>
        <w:rPr>
          <w:sz w:val="28"/>
          <w:szCs w:val="28"/>
        </w:rPr>
        <w:t xml:space="preserve">XI-Procedimentos </w:t>
      </w:r>
      <w:r w:rsidRPr="00780FD2">
        <w:rPr>
          <w:sz w:val="28"/>
          <w:szCs w:val="28"/>
        </w:rPr>
        <w:t>de Vida Funcional: (</w:t>
      </w:r>
      <w:hyperlink r:id="rId9" w:history="1">
        <w:r w:rsidRPr="00C15BF1">
          <w:rPr>
            <w:rStyle w:val="Hyperlink"/>
            <w:sz w:val="28"/>
            <w:szCs w:val="28"/>
          </w:rPr>
          <w:t>http://www.recursoshumanos.sp.gov.br/11a03.html</w:t>
        </w:r>
      </w:hyperlink>
      <w:r w:rsidRPr="00780FD2">
        <w:rPr>
          <w:sz w:val="28"/>
          <w:szCs w:val="28"/>
        </w:rPr>
        <w:t xml:space="preserve">) </w:t>
      </w:r>
    </w:p>
    <w:p w:rsidR="00780FD2" w:rsidRDefault="00780FD2" w:rsidP="00780FD2">
      <w:pPr>
        <w:rPr>
          <w:sz w:val="28"/>
          <w:szCs w:val="28"/>
        </w:rPr>
      </w:pPr>
      <w:r w:rsidRPr="00780FD2">
        <w:rPr>
          <w:sz w:val="28"/>
          <w:szCs w:val="28"/>
        </w:rPr>
        <w:t>a) Servidor - encaminhar ao Superior Imediato Requerimento de Afastamento (</w:t>
      </w:r>
      <w:r w:rsidRPr="002E04BD">
        <w:rPr>
          <w:color w:val="FF0000"/>
          <w:sz w:val="28"/>
          <w:szCs w:val="28"/>
        </w:rPr>
        <w:t>conforme modelo anexo a este Procedimento</w:t>
      </w:r>
      <w:r w:rsidRPr="00780FD2">
        <w:rPr>
          <w:sz w:val="28"/>
          <w:szCs w:val="28"/>
        </w:rPr>
        <w:t xml:space="preserve">), juntamente com a Ata de Convenção do Partido e Lista de candidaturas aprovadas; </w:t>
      </w:r>
    </w:p>
    <w:p w:rsidR="00780FD2" w:rsidRDefault="00780FD2" w:rsidP="00780FD2">
      <w:pPr>
        <w:rPr>
          <w:sz w:val="28"/>
          <w:szCs w:val="28"/>
        </w:rPr>
      </w:pPr>
      <w:r w:rsidRPr="00780FD2">
        <w:rPr>
          <w:sz w:val="28"/>
          <w:szCs w:val="28"/>
        </w:rPr>
        <w:t xml:space="preserve">b) Superior imediato - receber Requerimento de Afastamento, juntamente com Ata de Convenção do Partido e Lista de candidaturas aprovadas, apor visto em campo específico do Requerimento, encaminhar à Diretoria de Ensino -CRH para providências e aguardar: 10 </w:t>
      </w:r>
    </w:p>
    <w:p w:rsidR="00780FD2" w:rsidRDefault="00780FD2" w:rsidP="00780FD2">
      <w:pPr>
        <w:rPr>
          <w:sz w:val="28"/>
          <w:szCs w:val="28"/>
        </w:rPr>
      </w:pPr>
      <w:r w:rsidRPr="00780FD2">
        <w:rPr>
          <w:sz w:val="28"/>
          <w:szCs w:val="28"/>
        </w:rPr>
        <w:lastRenderedPageBreak/>
        <w:t xml:space="preserve">c) Diretoria de Ensino – CRH: - receber do Superior Imediato Requerimento de Afastamento, juntamente com Ata de Convenção do Partido e Lista de candidaturas aprovadas, efetuar análise técnica e verificar se o afastamento está de acordo com as normas legais vigentes: - em caso de impedimentos legais: fundamentar, em campo específico do Requerimento e encaminhar à origem, juntamente com Ata de Convenção do Partido e Lista de candidaturas aprovadas, até o 3º dia útil do recebimento; </w:t>
      </w:r>
    </w:p>
    <w:p w:rsidR="002E04BD" w:rsidRDefault="00780FD2" w:rsidP="00780FD2">
      <w:pPr>
        <w:rPr>
          <w:sz w:val="28"/>
          <w:szCs w:val="28"/>
        </w:rPr>
      </w:pPr>
      <w:r w:rsidRPr="00780FD2">
        <w:rPr>
          <w:sz w:val="28"/>
          <w:szCs w:val="28"/>
        </w:rPr>
        <w:t>- em caso de não haver impedimentos legais: emitir Portaria de Afastamento (</w:t>
      </w:r>
      <w:r w:rsidRPr="002E04BD">
        <w:rPr>
          <w:color w:val="FF0000"/>
          <w:sz w:val="28"/>
          <w:szCs w:val="28"/>
        </w:rPr>
        <w:t>conforme modelo anexo</w:t>
      </w:r>
      <w:r w:rsidRPr="00780FD2">
        <w:rPr>
          <w:sz w:val="28"/>
          <w:szCs w:val="28"/>
        </w:rPr>
        <w:t xml:space="preserve">) e providenciar a publicação, até o 3º dia útil do recebimento; - anexar ao Prontuário do servidor Portaria, Requerimento, Ata de Convenção do Partido e Lista de candidaturas aprovadas; </w:t>
      </w:r>
    </w:p>
    <w:p w:rsidR="002E04BD" w:rsidRDefault="00780FD2" w:rsidP="00780FD2">
      <w:pPr>
        <w:rPr>
          <w:sz w:val="28"/>
          <w:szCs w:val="28"/>
        </w:rPr>
      </w:pPr>
      <w:r w:rsidRPr="00780FD2">
        <w:rPr>
          <w:sz w:val="28"/>
          <w:szCs w:val="28"/>
        </w:rPr>
        <w:t xml:space="preserve">XII – Com relação ao programa Escola da Família, o afastamento do docente se dará com as horas de permanência; </w:t>
      </w:r>
    </w:p>
    <w:p w:rsidR="002E04BD" w:rsidRDefault="00780FD2" w:rsidP="00780FD2">
      <w:pPr>
        <w:rPr>
          <w:sz w:val="28"/>
          <w:szCs w:val="28"/>
        </w:rPr>
      </w:pPr>
      <w:r w:rsidRPr="00780FD2">
        <w:rPr>
          <w:sz w:val="28"/>
          <w:szCs w:val="28"/>
        </w:rPr>
        <w:t xml:space="preserve">XIII – Quanto ao ocupante do cargo do Suporte Pedagógico, Supervisor de Ensino, deve obrigatoriamente afastar-se no caso de candidatura em município abrangido pela Diretoria de Ensino ao qual é jurisdicionado. </w:t>
      </w:r>
    </w:p>
    <w:p w:rsidR="002E04BD" w:rsidRDefault="00780FD2" w:rsidP="00780FD2">
      <w:pPr>
        <w:rPr>
          <w:sz w:val="28"/>
          <w:szCs w:val="28"/>
        </w:rPr>
      </w:pPr>
      <w:r w:rsidRPr="00780FD2">
        <w:rPr>
          <w:sz w:val="28"/>
          <w:szCs w:val="28"/>
        </w:rPr>
        <w:t xml:space="preserve">XIV – Quanto ao ocupante de cargo/função docente, que complementa jornada/carga horária em municípios diversos, deve obrigatoriamente afastar-se, no caso de candidatura em um dos municípios abrangido pela Unidade Escolar ao qual é jurisdicionado; </w:t>
      </w:r>
    </w:p>
    <w:p w:rsidR="003746E4" w:rsidRDefault="00780FD2" w:rsidP="00780FD2">
      <w:pPr>
        <w:rPr>
          <w:sz w:val="28"/>
          <w:szCs w:val="28"/>
        </w:rPr>
      </w:pPr>
      <w:r w:rsidRPr="00780FD2">
        <w:rPr>
          <w:sz w:val="28"/>
          <w:szCs w:val="28"/>
        </w:rPr>
        <w:t xml:space="preserve">XV - Quanto ao ocupante de cargo/função docente, que acumula cargo/função em municípios diversos, deve obrigatoriamente afastar-se, no caso de candidatura em um dos municípios abrangido pela Unidade Escolar ao qual é jurisdicionado, devendo permanecer em exercício no outro cargo. Ressaltamos que outras dúvidas sobre desincompatibilização, especialmente quanto aos prazos, podem ser obtidas diretamente nos seguintes sites: http://www.tse.jus.br/jurisprudencia/prazo-de-desincompatibilizacao </w:t>
      </w:r>
      <w:hyperlink r:id="rId10" w:history="1">
        <w:r w:rsidR="00DA3491" w:rsidRPr="00EB0408">
          <w:rPr>
            <w:rStyle w:val="Hyperlink"/>
            <w:sz w:val="28"/>
            <w:szCs w:val="28"/>
          </w:rPr>
          <w:t>http://www.justicaeleitoral.jus.br/arquivos/tre-sp-tabela-de-desincompatibilizacaoeleicoes-2016</w:t>
        </w:r>
      </w:hyperlink>
    </w:p>
    <w:p w:rsidR="00DA3491" w:rsidRDefault="00DA3491" w:rsidP="00780FD2">
      <w:pPr>
        <w:rPr>
          <w:sz w:val="28"/>
          <w:szCs w:val="28"/>
        </w:rPr>
      </w:pPr>
    </w:p>
    <w:p w:rsidR="00DA3491" w:rsidRDefault="00DA3491" w:rsidP="00780FD2">
      <w:pPr>
        <w:rPr>
          <w:sz w:val="28"/>
          <w:szCs w:val="28"/>
        </w:rPr>
      </w:pPr>
    </w:p>
    <w:p w:rsidR="00DA3491" w:rsidRDefault="00DA3491" w:rsidP="00780FD2">
      <w:pPr>
        <w:rPr>
          <w:sz w:val="28"/>
          <w:szCs w:val="28"/>
        </w:rPr>
      </w:pPr>
    </w:p>
    <w:p w:rsidR="00DA3491" w:rsidRDefault="00DA3491" w:rsidP="00780FD2">
      <w:pPr>
        <w:rPr>
          <w:sz w:val="28"/>
          <w:szCs w:val="28"/>
        </w:rPr>
      </w:pPr>
    </w:p>
    <w:p w:rsidR="00DA3491" w:rsidRDefault="00DA3491" w:rsidP="00780FD2">
      <w:pPr>
        <w:rPr>
          <w:sz w:val="28"/>
          <w:szCs w:val="28"/>
        </w:rPr>
      </w:pPr>
    </w:p>
    <w:p w:rsidR="00DA3491" w:rsidRDefault="00DA3491" w:rsidP="00780FD2">
      <w:pPr>
        <w:rPr>
          <w:sz w:val="28"/>
          <w:szCs w:val="28"/>
        </w:rPr>
      </w:pPr>
    </w:p>
    <w:p w:rsidR="00D038C6" w:rsidRDefault="00D038C6" w:rsidP="00780FD2">
      <w:pPr>
        <w:rPr>
          <w:sz w:val="28"/>
          <w:szCs w:val="28"/>
        </w:rPr>
      </w:pPr>
    </w:p>
    <w:p w:rsidR="00D038C6" w:rsidRDefault="00D038C6" w:rsidP="00780FD2">
      <w:pPr>
        <w:rPr>
          <w:sz w:val="28"/>
          <w:szCs w:val="28"/>
        </w:rPr>
      </w:pPr>
    </w:p>
    <w:p w:rsidR="00D038C6" w:rsidRDefault="00D038C6" w:rsidP="00780FD2">
      <w:pPr>
        <w:rPr>
          <w:sz w:val="28"/>
          <w:szCs w:val="28"/>
        </w:rPr>
      </w:pPr>
    </w:p>
    <w:p w:rsidR="00D038C6" w:rsidRDefault="00D038C6" w:rsidP="00780FD2">
      <w:pPr>
        <w:rPr>
          <w:sz w:val="28"/>
          <w:szCs w:val="28"/>
        </w:rPr>
      </w:pPr>
    </w:p>
    <w:p w:rsidR="00DA3491" w:rsidRPr="00DA3491" w:rsidRDefault="00DA3491" w:rsidP="004C3E32"/>
    <w:p w:rsidR="00DA3491" w:rsidRPr="00DA3491" w:rsidRDefault="00DA3491" w:rsidP="004C3E32">
      <w:pPr>
        <w:pStyle w:val="Ttulo2"/>
        <w:ind w:right="15"/>
        <w:jc w:val="center"/>
        <w:rPr>
          <w:rFonts w:cs="Arial"/>
          <w:szCs w:val="20"/>
        </w:rPr>
      </w:pPr>
      <w:r w:rsidRPr="00DA3491">
        <w:rPr>
          <w:rFonts w:cs="Arial"/>
          <w:szCs w:val="20"/>
        </w:rPr>
        <w:t>REQUERIMENTO DE AFASTAMENTO PARA CONCORRER ÀS ELEIÇÕES</w:t>
      </w:r>
    </w:p>
    <w:p w:rsidR="00DA3491" w:rsidRPr="00DA3491" w:rsidRDefault="00DA3491" w:rsidP="00DA3491">
      <w:pPr>
        <w:ind w:right="15"/>
        <w:rPr>
          <w:rFonts w:ascii="Arial" w:hAnsi="Arial" w:cs="Arial"/>
          <w:bCs/>
          <w:sz w:val="20"/>
          <w:szCs w:val="20"/>
        </w:rPr>
      </w:pPr>
    </w:p>
    <w:p w:rsidR="00DA3491" w:rsidRPr="00DA3491" w:rsidRDefault="00DA3491" w:rsidP="00DA3491">
      <w:pPr>
        <w:ind w:right="15"/>
        <w:rPr>
          <w:rFonts w:ascii="Arial" w:hAnsi="Arial" w:cs="Arial"/>
          <w:bCs/>
          <w:sz w:val="20"/>
          <w:szCs w:val="20"/>
        </w:rPr>
      </w:pPr>
      <w:r w:rsidRPr="00DA3491">
        <w:rPr>
          <w:rFonts w:ascii="Arial" w:hAnsi="Arial" w:cs="Arial"/>
          <w:bCs/>
          <w:sz w:val="20"/>
          <w:szCs w:val="20"/>
        </w:rPr>
        <w:t xml:space="preserve">Ilmo. </w:t>
      </w:r>
      <w:proofErr w:type="gramStart"/>
      <w:r w:rsidRPr="00DA3491">
        <w:rPr>
          <w:rFonts w:ascii="Arial" w:hAnsi="Arial" w:cs="Arial"/>
          <w:bCs/>
          <w:sz w:val="20"/>
          <w:szCs w:val="20"/>
        </w:rPr>
        <w:t>Sr.</w:t>
      </w:r>
      <w:proofErr w:type="gramEnd"/>
      <w:r w:rsidRPr="00DA3491">
        <w:rPr>
          <w:rFonts w:ascii="Arial" w:hAnsi="Arial" w:cs="Arial"/>
          <w:bCs/>
          <w:sz w:val="20"/>
          <w:szCs w:val="20"/>
        </w:rPr>
        <w:t xml:space="preserve"> </w:t>
      </w:r>
      <w:r w:rsidRPr="00DA3491">
        <w:rPr>
          <w:rFonts w:ascii="Arial" w:hAnsi="Arial" w:cs="Arial"/>
          <w:sz w:val="20"/>
          <w:szCs w:val="20"/>
        </w:rPr>
        <w:t>(cargo da autoridade competente)</w:t>
      </w:r>
      <w:r w:rsidRPr="00DA3491">
        <w:rPr>
          <w:rFonts w:ascii="Arial" w:hAnsi="Arial" w:cs="Arial"/>
          <w:bCs/>
          <w:sz w:val="20"/>
          <w:szCs w:val="20"/>
        </w:rPr>
        <w:t>,</w:t>
      </w:r>
      <w:r w:rsidRPr="00DA3491">
        <w:rPr>
          <w:rFonts w:ascii="Arial" w:hAnsi="Arial" w:cs="Arial"/>
          <w:bCs/>
          <w:sz w:val="20"/>
          <w:szCs w:val="20"/>
        </w:rPr>
        <w:tab/>
      </w:r>
      <w:r w:rsidRPr="00DA3491">
        <w:rPr>
          <w:rFonts w:ascii="Arial" w:hAnsi="Arial" w:cs="Arial"/>
          <w:bCs/>
          <w:sz w:val="20"/>
          <w:szCs w:val="20"/>
        </w:rPr>
        <w:tab/>
      </w:r>
      <w:r w:rsidRPr="00DA3491">
        <w:rPr>
          <w:rFonts w:ascii="Arial" w:hAnsi="Arial" w:cs="Arial"/>
          <w:bCs/>
          <w:sz w:val="20"/>
          <w:szCs w:val="20"/>
        </w:rPr>
        <w:tab/>
      </w:r>
      <w:r w:rsidRPr="00DA3491">
        <w:rPr>
          <w:rFonts w:ascii="Arial" w:hAnsi="Arial" w:cs="Arial"/>
          <w:bCs/>
          <w:sz w:val="20"/>
          <w:szCs w:val="20"/>
        </w:rPr>
        <w:tab/>
      </w:r>
      <w:r w:rsidRPr="00DA3491">
        <w:rPr>
          <w:rFonts w:ascii="Arial" w:hAnsi="Arial" w:cs="Arial"/>
          <w:bCs/>
          <w:sz w:val="20"/>
          <w:szCs w:val="20"/>
        </w:rPr>
        <w:tab/>
      </w:r>
    </w:p>
    <w:p w:rsidR="00DA3491" w:rsidRPr="00DA3491" w:rsidRDefault="00DA3491" w:rsidP="00DA3491">
      <w:pPr>
        <w:pStyle w:val="Textodenotaderodap"/>
        <w:ind w:right="15"/>
        <w:rPr>
          <w:rFonts w:cs="Arial"/>
          <w:bCs/>
        </w:rPr>
      </w:pPr>
    </w:p>
    <w:p w:rsidR="00DA3491" w:rsidRPr="00DA3491" w:rsidRDefault="00DA3491" w:rsidP="00DA3491">
      <w:pPr>
        <w:spacing w:line="360" w:lineRule="auto"/>
        <w:ind w:right="17" w:firstLine="2124"/>
        <w:jc w:val="both"/>
        <w:rPr>
          <w:rFonts w:ascii="Arial" w:hAnsi="Arial" w:cs="Arial"/>
          <w:bCs/>
          <w:sz w:val="20"/>
          <w:szCs w:val="20"/>
        </w:rPr>
      </w:pPr>
      <w:r w:rsidRPr="00DA3491">
        <w:rPr>
          <w:rFonts w:ascii="Arial" w:hAnsi="Arial" w:cs="Arial"/>
          <w:bCs/>
          <w:sz w:val="20"/>
          <w:szCs w:val="20"/>
        </w:rPr>
        <w:t>(nome completo do (a) funcionário (a</w:t>
      </w:r>
      <w:proofErr w:type="gramStart"/>
      <w:r w:rsidRPr="00DA3491">
        <w:rPr>
          <w:rFonts w:ascii="Arial" w:hAnsi="Arial" w:cs="Arial"/>
          <w:bCs/>
          <w:sz w:val="20"/>
          <w:szCs w:val="20"/>
        </w:rPr>
        <w:t>)</w:t>
      </w:r>
      <w:proofErr w:type="gramEnd"/>
      <w:r w:rsidRPr="00DA3491">
        <w:rPr>
          <w:rFonts w:ascii="Arial" w:hAnsi="Arial" w:cs="Arial"/>
          <w:bCs/>
          <w:sz w:val="20"/>
          <w:szCs w:val="20"/>
        </w:rPr>
        <w:t xml:space="preserve">/ servidor (a)), RG (número), em exercício na (unidade), exercendo (denominação do cargo / função-atividade), requer a Vossa Senhoria afastamento, a título de desincompatibilização, por estar concorrendo ao cargo eletivo de </w:t>
      </w:r>
      <w:r w:rsidRPr="00DA3491">
        <w:rPr>
          <w:rFonts w:ascii="Arial" w:hAnsi="Arial" w:cs="Arial"/>
          <w:sz w:val="20"/>
          <w:szCs w:val="20"/>
        </w:rPr>
        <w:t>(</w:t>
      </w:r>
      <w:r w:rsidRPr="00DA3491">
        <w:rPr>
          <w:rFonts w:ascii="Arial" w:hAnsi="Arial" w:cs="Arial"/>
          <w:b/>
          <w:bCs/>
          <w:sz w:val="20"/>
          <w:szCs w:val="20"/>
        </w:rPr>
        <w:t>cargo e Esfera (Municipal, Estadual ou Federal</w:t>
      </w:r>
      <w:r w:rsidRPr="00DA3491">
        <w:rPr>
          <w:rFonts w:ascii="Arial" w:hAnsi="Arial" w:cs="Arial"/>
          <w:sz w:val="20"/>
          <w:szCs w:val="20"/>
        </w:rPr>
        <w:t>) no pleito de (ano)</w:t>
      </w:r>
      <w:r w:rsidRPr="00DA3491">
        <w:rPr>
          <w:rFonts w:ascii="Arial" w:hAnsi="Arial" w:cs="Arial"/>
          <w:bCs/>
          <w:sz w:val="20"/>
          <w:szCs w:val="20"/>
        </w:rPr>
        <w:t>, nos termos da Lei Complementar Federal n</w:t>
      </w:r>
      <w:r w:rsidRPr="00DA3491">
        <w:rPr>
          <w:rFonts w:ascii="Arial" w:hAnsi="Arial" w:cs="Arial"/>
          <w:bCs/>
          <w:sz w:val="20"/>
          <w:szCs w:val="20"/>
          <w:vertAlign w:val="superscript"/>
        </w:rPr>
        <w:t>o</w:t>
      </w:r>
      <w:r w:rsidRPr="00DA3491">
        <w:rPr>
          <w:rFonts w:ascii="Arial" w:hAnsi="Arial" w:cs="Arial"/>
          <w:bCs/>
          <w:sz w:val="20"/>
          <w:szCs w:val="20"/>
        </w:rPr>
        <w:t xml:space="preserve"> 64 de 18/05/1990 e</w:t>
      </w:r>
      <w:r w:rsidRPr="00DA3491">
        <w:rPr>
          <w:rFonts w:ascii="Arial" w:hAnsi="Arial" w:cs="Arial"/>
          <w:sz w:val="20"/>
          <w:szCs w:val="20"/>
        </w:rPr>
        <w:t xml:space="preserve"> (Legislação específica do ano eleitoral)</w:t>
      </w:r>
      <w:r w:rsidRPr="00DA3491">
        <w:rPr>
          <w:rFonts w:ascii="Arial" w:hAnsi="Arial" w:cs="Arial"/>
          <w:bCs/>
          <w:sz w:val="20"/>
          <w:szCs w:val="20"/>
        </w:rPr>
        <w:t>, a partir de (</w:t>
      </w:r>
      <w:proofErr w:type="spellStart"/>
      <w:r w:rsidRPr="00DA3491">
        <w:rPr>
          <w:rFonts w:ascii="Arial" w:hAnsi="Arial" w:cs="Arial"/>
          <w:bCs/>
          <w:sz w:val="20"/>
          <w:szCs w:val="20"/>
        </w:rPr>
        <w:t>dd</w:t>
      </w:r>
      <w:proofErr w:type="spellEnd"/>
      <w:r w:rsidRPr="00DA3491">
        <w:rPr>
          <w:rFonts w:ascii="Arial" w:hAnsi="Arial" w:cs="Arial"/>
          <w:bCs/>
          <w:sz w:val="20"/>
          <w:szCs w:val="20"/>
        </w:rPr>
        <w:t>/mm/</w:t>
      </w:r>
      <w:proofErr w:type="spellStart"/>
      <w:r w:rsidRPr="00DA3491">
        <w:rPr>
          <w:rFonts w:ascii="Arial" w:hAnsi="Arial" w:cs="Arial"/>
          <w:bCs/>
          <w:sz w:val="20"/>
          <w:szCs w:val="20"/>
        </w:rPr>
        <w:t>aaaa</w:t>
      </w:r>
      <w:proofErr w:type="spellEnd"/>
      <w:r w:rsidRPr="00DA3491">
        <w:rPr>
          <w:rFonts w:ascii="Arial" w:hAnsi="Arial" w:cs="Arial"/>
          <w:bCs/>
          <w:sz w:val="20"/>
          <w:szCs w:val="20"/>
        </w:rPr>
        <w:t>)</w:t>
      </w:r>
      <w:r w:rsidRPr="00DA3491">
        <w:rPr>
          <w:rFonts w:ascii="Arial" w:hAnsi="Arial" w:cs="Arial"/>
          <w:sz w:val="20"/>
          <w:szCs w:val="20"/>
        </w:rPr>
        <w:t>.</w:t>
      </w:r>
    </w:p>
    <w:p w:rsidR="00DA3491" w:rsidRPr="00DA3491" w:rsidRDefault="00DA3491" w:rsidP="00DA3491">
      <w:pPr>
        <w:tabs>
          <w:tab w:val="left" w:pos="2160"/>
        </w:tabs>
        <w:spacing w:line="360" w:lineRule="auto"/>
        <w:ind w:right="17"/>
        <w:jc w:val="both"/>
        <w:rPr>
          <w:rFonts w:ascii="Arial" w:hAnsi="Arial" w:cs="Arial"/>
          <w:b/>
          <w:sz w:val="20"/>
          <w:szCs w:val="20"/>
        </w:rPr>
      </w:pPr>
      <w:r w:rsidRPr="00DA3491">
        <w:rPr>
          <w:rFonts w:ascii="Arial" w:hAnsi="Arial" w:cs="Arial"/>
          <w:sz w:val="20"/>
          <w:szCs w:val="20"/>
        </w:rPr>
        <w:tab/>
        <w:t xml:space="preserve">Ressalto ainda que </w:t>
      </w:r>
      <w:r w:rsidRPr="00DA3491">
        <w:rPr>
          <w:rFonts w:ascii="Arial" w:hAnsi="Arial" w:cs="Arial"/>
          <w:b/>
          <w:sz w:val="20"/>
          <w:szCs w:val="20"/>
        </w:rPr>
        <w:t>estou ciente</w:t>
      </w:r>
      <w:r w:rsidRPr="00DA3491">
        <w:rPr>
          <w:rFonts w:ascii="Arial" w:hAnsi="Arial" w:cs="Arial"/>
          <w:sz w:val="20"/>
          <w:szCs w:val="20"/>
        </w:rPr>
        <w:t xml:space="preserve"> da obrigatoriedade de entregar a Ata de Convenção do (Identificação do Partido); lista de candidaturas aprovadas </w:t>
      </w:r>
      <w:r w:rsidRPr="00DA3491">
        <w:rPr>
          <w:rFonts w:ascii="Arial" w:hAnsi="Arial" w:cs="Arial"/>
          <w:b/>
          <w:sz w:val="20"/>
          <w:szCs w:val="20"/>
        </w:rPr>
        <w:t xml:space="preserve">impreterivelmente até o primeiro dia útil </w:t>
      </w:r>
      <w:proofErr w:type="spellStart"/>
      <w:r w:rsidRPr="00DA3491">
        <w:rPr>
          <w:rFonts w:ascii="Arial" w:hAnsi="Arial" w:cs="Arial"/>
          <w:b/>
          <w:sz w:val="20"/>
          <w:szCs w:val="20"/>
        </w:rPr>
        <w:t>subseqüente</w:t>
      </w:r>
      <w:proofErr w:type="spellEnd"/>
      <w:r w:rsidRPr="00DA3491">
        <w:rPr>
          <w:rFonts w:ascii="Arial" w:hAnsi="Arial" w:cs="Arial"/>
          <w:b/>
          <w:sz w:val="20"/>
          <w:szCs w:val="20"/>
        </w:rPr>
        <w:t xml:space="preserve"> a Convenção do Partido</w:t>
      </w:r>
      <w:r w:rsidRPr="00DA3491">
        <w:rPr>
          <w:rFonts w:ascii="Arial" w:hAnsi="Arial" w:cs="Arial"/>
          <w:sz w:val="20"/>
          <w:szCs w:val="20"/>
        </w:rPr>
        <w:t xml:space="preserve">, bem como o Registro de Candidatura, expedido pelo Tribunal Regional Eleitoral, ao Órgão </w:t>
      </w:r>
      <w:proofErr w:type="spellStart"/>
      <w:r w:rsidRPr="00DA3491">
        <w:rPr>
          <w:rFonts w:ascii="Arial" w:hAnsi="Arial" w:cs="Arial"/>
          <w:sz w:val="20"/>
          <w:szCs w:val="20"/>
        </w:rPr>
        <w:t>Subsetorial</w:t>
      </w:r>
      <w:proofErr w:type="spellEnd"/>
      <w:r w:rsidRPr="00DA3491">
        <w:rPr>
          <w:rFonts w:ascii="Arial" w:hAnsi="Arial" w:cs="Arial"/>
          <w:sz w:val="20"/>
          <w:szCs w:val="20"/>
        </w:rPr>
        <w:t xml:space="preserve">/Setorial de Recursos Humanos, no prazo previsto, bem como informar eventual impugnação de minha candidatura e que, </w:t>
      </w:r>
      <w:r w:rsidRPr="00DA3491">
        <w:rPr>
          <w:rFonts w:ascii="Arial" w:hAnsi="Arial" w:cs="Arial"/>
          <w:b/>
          <w:sz w:val="20"/>
          <w:szCs w:val="20"/>
        </w:rPr>
        <w:t xml:space="preserve">no caso da não apresentação da Ata de Convenção e lista de candidaturas no prazo acima estipulado poderão ser </w:t>
      </w:r>
      <w:proofErr w:type="gramStart"/>
      <w:r w:rsidRPr="00DA3491">
        <w:rPr>
          <w:rFonts w:ascii="Arial" w:hAnsi="Arial" w:cs="Arial"/>
          <w:b/>
          <w:sz w:val="20"/>
          <w:szCs w:val="20"/>
        </w:rPr>
        <w:t>imputadas faltas no período</w:t>
      </w:r>
      <w:proofErr w:type="gramEnd"/>
      <w:r w:rsidRPr="00DA3491">
        <w:rPr>
          <w:rFonts w:ascii="Arial" w:hAnsi="Arial" w:cs="Arial"/>
          <w:b/>
          <w:sz w:val="20"/>
          <w:szCs w:val="20"/>
        </w:rPr>
        <w:t>.</w:t>
      </w:r>
    </w:p>
    <w:p w:rsidR="00DA3491" w:rsidRDefault="00DA3491" w:rsidP="00DA3491">
      <w:pPr>
        <w:pStyle w:val="Textodenotaderodap"/>
        <w:tabs>
          <w:tab w:val="left" w:pos="1260"/>
          <w:tab w:val="left" w:pos="3960"/>
        </w:tabs>
        <w:ind w:right="15"/>
        <w:rPr>
          <w:rFonts w:cs="Arial"/>
          <w:bCs/>
          <w:szCs w:val="24"/>
        </w:rPr>
      </w:pPr>
      <w:r>
        <w:rPr>
          <w:rFonts w:cs="Arial"/>
          <w:bCs/>
          <w:szCs w:val="24"/>
        </w:rPr>
        <w:tab/>
      </w:r>
      <w:r>
        <w:rPr>
          <w:rFonts w:cs="Arial"/>
          <w:bCs/>
          <w:szCs w:val="24"/>
        </w:rPr>
        <w:tab/>
      </w:r>
      <w:r>
        <w:rPr>
          <w:rFonts w:cs="Arial"/>
          <w:bCs/>
          <w:szCs w:val="24"/>
        </w:rPr>
        <w:tab/>
      </w:r>
    </w:p>
    <w:p w:rsidR="00DA3491" w:rsidRDefault="00DA3491" w:rsidP="00DA3491">
      <w:pPr>
        <w:pStyle w:val="Textodenotaderodap"/>
        <w:tabs>
          <w:tab w:val="left" w:pos="180"/>
          <w:tab w:val="left" w:pos="3600"/>
          <w:tab w:val="left" w:pos="3960"/>
        </w:tabs>
        <w:ind w:right="15"/>
        <w:rPr>
          <w:rFonts w:cs="Arial"/>
          <w:bCs/>
          <w:sz w:val="16"/>
          <w:szCs w:val="24"/>
        </w:rPr>
      </w:pPr>
      <w:r>
        <w:rPr>
          <w:rFonts w:cs="Arial"/>
          <w:bCs/>
          <w:sz w:val="16"/>
          <w:szCs w:val="24"/>
        </w:rPr>
        <w:tab/>
        <w:t>(data do requerimento</w:t>
      </w:r>
      <w:proofErr w:type="gramStart"/>
      <w:r>
        <w:rPr>
          <w:rFonts w:cs="Arial"/>
          <w:bCs/>
          <w:sz w:val="16"/>
          <w:szCs w:val="24"/>
        </w:rPr>
        <w:t>)</w:t>
      </w:r>
      <w:proofErr w:type="gramEnd"/>
      <w:r>
        <w:rPr>
          <w:rFonts w:cs="Arial"/>
          <w:bCs/>
          <w:sz w:val="16"/>
          <w:szCs w:val="24"/>
        </w:rPr>
        <w:tab/>
      </w:r>
      <w:r>
        <w:rPr>
          <w:rFonts w:cs="Arial"/>
          <w:bCs/>
          <w:sz w:val="16"/>
          <w:szCs w:val="24"/>
        </w:rPr>
        <w:tab/>
      </w:r>
      <w:r>
        <w:rPr>
          <w:rFonts w:cs="Arial"/>
          <w:bCs/>
          <w:sz w:val="16"/>
          <w:szCs w:val="24"/>
        </w:rPr>
        <w:tab/>
      </w:r>
      <w:r>
        <w:rPr>
          <w:rFonts w:cs="Arial"/>
          <w:bCs/>
          <w:sz w:val="16"/>
          <w:szCs w:val="24"/>
        </w:rPr>
        <w:tab/>
      </w:r>
      <w:r>
        <w:rPr>
          <w:rFonts w:cs="Arial"/>
          <w:bCs/>
          <w:sz w:val="16"/>
          <w:szCs w:val="24"/>
        </w:rPr>
        <w:tab/>
        <w:t>(assinatura do solicitante)</w:t>
      </w:r>
    </w:p>
    <w:p w:rsidR="00DA3491" w:rsidRDefault="00DA3491" w:rsidP="00DA3491">
      <w:pPr>
        <w:pStyle w:val="Textodenotaderodap"/>
        <w:tabs>
          <w:tab w:val="left" w:pos="180"/>
          <w:tab w:val="left" w:pos="3600"/>
          <w:tab w:val="left" w:pos="3960"/>
        </w:tabs>
        <w:ind w:right="15"/>
        <w:rPr>
          <w:rFonts w:cs="Arial"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7288"/>
      </w:tblGrid>
      <w:tr w:rsidR="00DA3491" w:rsidTr="00A256D8">
        <w:trPr>
          <w:cantSplit/>
        </w:trPr>
        <w:tc>
          <w:tcPr>
            <w:tcW w:w="1690" w:type="dxa"/>
          </w:tcPr>
          <w:p w:rsidR="00DA3491" w:rsidRDefault="00DA3491" w:rsidP="00A256D8">
            <w:pPr>
              <w:pStyle w:val="Textodenotaderodap"/>
              <w:tabs>
                <w:tab w:val="left" w:pos="180"/>
                <w:tab w:val="left" w:pos="3600"/>
                <w:tab w:val="left" w:pos="3960"/>
              </w:tabs>
              <w:rPr>
                <w:bCs/>
                <w:sz w:val="16"/>
                <w:szCs w:val="24"/>
              </w:rPr>
            </w:pPr>
          </w:p>
          <w:p w:rsidR="00DA3491" w:rsidRDefault="00DA3491" w:rsidP="00A256D8">
            <w:pPr>
              <w:pStyle w:val="Textodenotaderodap"/>
              <w:tabs>
                <w:tab w:val="left" w:pos="180"/>
                <w:tab w:val="left" w:pos="3600"/>
                <w:tab w:val="left" w:pos="3960"/>
              </w:tabs>
              <w:rPr>
                <w:bCs/>
                <w:sz w:val="16"/>
                <w:szCs w:val="24"/>
              </w:rPr>
            </w:pPr>
            <w:r>
              <w:object w:dxaOrig="3697" w:dyaOrig="345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51.75pt" o:ole="" fillcolor="window">
                  <v:imagedata r:id="rId11" o:title=""/>
                </v:shape>
                <o:OLEObject Type="Embed" ProgID="Word.Picture.8" ShapeID="_x0000_i1025" DrawAspect="Content" ObjectID="_1528180176" r:id="rId12"/>
              </w:object>
            </w:r>
          </w:p>
          <w:p w:rsidR="00DA3491" w:rsidRDefault="00DA3491" w:rsidP="00A256D8">
            <w:pPr>
              <w:pStyle w:val="Textodenotaderodap"/>
              <w:tabs>
                <w:tab w:val="left" w:pos="180"/>
                <w:tab w:val="left" w:pos="3600"/>
                <w:tab w:val="left" w:pos="3960"/>
              </w:tabs>
              <w:rPr>
                <w:bCs/>
                <w:sz w:val="16"/>
                <w:szCs w:val="24"/>
              </w:rPr>
            </w:pPr>
          </w:p>
        </w:tc>
        <w:tc>
          <w:tcPr>
            <w:tcW w:w="7288" w:type="dxa"/>
          </w:tcPr>
          <w:p w:rsidR="00DA3491" w:rsidRDefault="00DA3491" w:rsidP="00A256D8">
            <w:pPr>
              <w:pStyle w:val="Textodenotaderodap"/>
              <w:tabs>
                <w:tab w:val="left" w:pos="180"/>
                <w:tab w:val="left" w:pos="3600"/>
                <w:tab w:val="left" w:pos="3960"/>
              </w:tabs>
              <w:rPr>
                <w:bCs/>
                <w:sz w:val="16"/>
                <w:szCs w:val="24"/>
              </w:rPr>
            </w:pPr>
          </w:p>
          <w:p w:rsidR="00DA3491" w:rsidRDefault="00DA3491" w:rsidP="00A256D8">
            <w:pPr>
              <w:pStyle w:val="Ttulo2"/>
              <w:tabs>
                <w:tab w:val="left" w:pos="1980"/>
              </w:tabs>
              <w:ind w:right="15"/>
              <w:jc w:val="center"/>
              <w:rPr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>GOVERNO DO ESTADO DE SÃO PAULO</w:t>
            </w:r>
          </w:p>
          <w:p w:rsidR="00DA3491" w:rsidRDefault="00DA3491" w:rsidP="00A256D8">
            <w:pPr>
              <w:pStyle w:val="Ttulo2"/>
              <w:tabs>
                <w:tab w:val="left" w:pos="1980"/>
              </w:tabs>
              <w:ind w:right="15"/>
              <w:jc w:val="center"/>
              <w:rPr>
                <w:sz w:val="22"/>
                <w:szCs w:val="22"/>
              </w:rPr>
            </w:pPr>
          </w:p>
          <w:p w:rsidR="00DA3491" w:rsidRDefault="00DA3491" w:rsidP="00A256D8">
            <w:pPr>
              <w:pStyle w:val="Ttulo2"/>
              <w:tabs>
                <w:tab w:val="left" w:pos="1980"/>
              </w:tabs>
              <w:ind w:right="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SECRETARIA</w:t>
            </w:r>
          </w:p>
          <w:p w:rsidR="00DA3491" w:rsidRDefault="00DA3491" w:rsidP="00A256D8">
            <w:pPr>
              <w:pStyle w:val="Textodenotaderodap"/>
              <w:tabs>
                <w:tab w:val="left" w:pos="180"/>
                <w:tab w:val="left" w:pos="3600"/>
                <w:tab w:val="left" w:pos="3960"/>
              </w:tabs>
              <w:jc w:val="center"/>
              <w:rPr>
                <w:bCs/>
                <w:sz w:val="16"/>
                <w:szCs w:val="24"/>
              </w:rPr>
            </w:pPr>
          </w:p>
        </w:tc>
      </w:tr>
    </w:tbl>
    <w:p w:rsidR="00DA3491" w:rsidRDefault="00DA3491" w:rsidP="00DA3491">
      <w:pPr>
        <w:ind w:right="15"/>
        <w:rPr>
          <w:bCs/>
          <w:sz w:val="8"/>
        </w:rPr>
      </w:pPr>
    </w:p>
    <w:tbl>
      <w:tblPr>
        <w:tblW w:w="9011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DA3491" w:rsidTr="004C3E32">
        <w:trPr>
          <w:trHeight w:val="1882"/>
        </w:trPr>
        <w:tc>
          <w:tcPr>
            <w:tcW w:w="9011" w:type="dxa"/>
          </w:tcPr>
          <w:p w:rsidR="00DA3491" w:rsidRDefault="00DA3491" w:rsidP="00DA3491">
            <w:pPr>
              <w:pStyle w:val="Ttulo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80" w:right="15"/>
            </w:pPr>
            <w:r>
              <w:t>Visto do Superior Imediato</w:t>
            </w:r>
          </w:p>
          <w:p w:rsidR="00DA3491" w:rsidRDefault="00DA3491" w:rsidP="00DA3491">
            <w:pPr>
              <w:tabs>
                <w:tab w:val="left" w:pos="360"/>
                <w:tab w:val="left" w:pos="3240"/>
              </w:tabs>
              <w:ind w:left="80" w:right="15"/>
              <w:rPr>
                <w:bCs/>
                <w:sz w:val="20"/>
              </w:rPr>
            </w:pPr>
          </w:p>
          <w:p w:rsidR="00DA3491" w:rsidRDefault="00DA3491" w:rsidP="00DA3491">
            <w:pPr>
              <w:pStyle w:val="Textodenotaderodap"/>
              <w:tabs>
                <w:tab w:val="left" w:pos="1260"/>
                <w:tab w:val="left" w:pos="4140"/>
              </w:tabs>
              <w:ind w:left="80" w:right="15"/>
              <w:rPr>
                <w:bCs/>
                <w:szCs w:val="24"/>
              </w:rPr>
            </w:pPr>
          </w:p>
          <w:p w:rsidR="00DA3491" w:rsidRDefault="00DA3491" w:rsidP="00DA3491">
            <w:pPr>
              <w:pStyle w:val="Textodenotaderodap"/>
              <w:tabs>
                <w:tab w:val="left" w:pos="1260"/>
                <w:tab w:val="left" w:pos="4140"/>
              </w:tabs>
              <w:ind w:left="80" w:right="15"/>
              <w:rPr>
                <w:bCs/>
                <w:szCs w:val="24"/>
              </w:rPr>
            </w:pPr>
            <w:r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</w:p>
          <w:p w:rsidR="00DA3491" w:rsidRDefault="00DA3491" w:rsidP="00DA3491">
            <w:pPr>
              <w:tabs>
                <w:tab w:val="left" w:pos="1800"/>
                <w:tab w:val="left" w:pos="4500"/>
              </w:tabs>
              <w:ind w:left="80" w:right="15"/>
              <w:rPr>
                <w:rFonts w:ascii="Arial" w:hAnsi="Arial" w:cs="Arial"/>
                <w:bCs/>
                <w:sz w:val="16"/>
              </w:rPr>
            </w:pPr>
            <w:r>
              <w:rPr>
                <w:bCs/>
                <w:sz w:val="16"/>
              </w:rPr>
              <w:tab/>
            </w:r>
            <w:r>
              <w:rPr>
                <w:rFonts w:ascii="Arial" w:hAnsi="Arial" w:cs="Arial"/>
                <w:bCs/>
                <w:sz w:val="16"/>
              </w:rPr>
              <w:t>(data</w:t>
            </w:r>
            <w:proofErr w:type="gramStart"/>
            <w:r>
              <w:rPr>
                <w:rFonts w:ascii="Arial" w:hAnsi="Arial" w:cs="Arial"/>
                <w:bCs/>
                <w:sz w:val="16"/>
              </w:rPr>
              <w:t>)</w:t>
            </w:r>
            <w:proofErr w:type="gramEnd"/>
            <w:r>
              <w:rPr>
                <w:rFonts w:ascii="Arial" w:hAnsi="Arial" w:cs="Arial"/>
                <w:bCs/>
                <w:sz w:val="16"/>
              </w:rPr>
              <w:tab/>
              <w:t>(assinatura do Superior Imediato / carimbo)</w:t>
            </w:r>
          </w:p>
          <w:p w:rsidR="00DA3491" w:rsidRDefault="00DA3491" w:rsidP="00DA3491">
            <w:pPr>
              <w:tabs>
                <w:tab w:val="left" w:pos="180"/>
                <w:tab w:val="left" w:pos="5760"/>
              </w:tabs>
              <w:ind w:left="80" w:right="15"/>
              <w:jc w:val="both"/>
            </w:pPr>
          </w:p>
        </w:tc>
      </w:tr>
      <w:tr w:rsidR="00DA3491" w:rsidTr="004C3E32">
        <w:trPr>
          <w:trHeight w:val="323"/>
        </w:trPr>
        <w:tc>
          <w:tcPr>
            <w:tcW w:w="9011" w:type="dxa"/>
            <w:tcBorders>
              <w:left w:val="nil"/>
              <w:bottom w:val="nil"/>
              <w:right w:val="nil"/>
            </w:tcBorders>
          </w:tcPr>
          <w:p w:rsidR="00DA3491" w:rsidRPr="00DA3491" w:rsidRDefault="00DA3491" w:rsidP="00DA3491">
            <w:pPr>
              <w:tabs>
                <w:tab w:val="left" w:pos="180"/>
                <w:tab w:val="left" w:pos="5760"/>
              </w:tabs>
              <w:ind w:right="15"/>
              <w:jc w:val="both"/>
              <w:rPr>
                <w:sz w:val="10"/>
                <w:szCs w:val="10"/>
              </w:rPr>
            </w:pPr>
          </w:p>
        </w:tc>
      </w:tr>
      <w:tr w:rsidR="00DA3491" w:rsidTr="004C3E32">
        <w:trPr>
          <w:trHeight w:val="3113"/>
        </w:trPr>
        <w:tc>
          <w:tcPr>
            <w:tcW w:w="9011" w:type="dxa"/>
          </w:tcPr>
          <w:p w:rsidR="00DA3491" w:rsidRPr="00DA3491" w:rsidRDefault="00DA3491" w:rsidP="004C3E32">
            <w:pPr>
              <w:tabs>
                <w:tab w:val="left" w:pos="1800"/>
                <w:tab w:val="left" w:pos="4500"/>
              </w:tabs>
              <w:ind w:right="15"/>
              <w:rPr>
                <w:rFonts w:ascii="Arial" w:hAnsi="Arial" w:cs="Arial"/>
                <w:bCs/>
                <w:sz w:val="16"/>
              </w:rPr>
            </w:pPr>
          </w:p>
          <w:p w:rsidR="00DA3491" w:rsidRPr="004C3E32" w:rsidRDefault="00DA3491" w:rsidP="004C3E32">
            <w:pPr>
              <w:tabs>
                <w:tab w:val="left" w:pos="180"/>
                <w:tab w:val="left" w:pos="5760"/>
              </w:tabs>
              <w:ind w:left="80" w:right="15"/>
              <w:rPr>
                <w:sz w:val="16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Informações do Órgão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Subsetorial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/ Setorial</w:t>
            </w:r>
          </w:p>
          <w:p w:rsidR="00DA3491" w:rsidRDefault="00DA3491" w:rsidP="00DA3491">
            <w:pPr>
              <w:tabs>
                <w:tab w:val="left" w:pos="180"/>
                <w:tab w:val="left" w:pos="5760"/>
              </w:tabs>
              <w:ind w:left="80" w:right="15"/>
              <w:jc w:val="both"/>
              <w:rPr>
                <w:rFonts w:ascii="Arial" w:hAnsi="Arial" w:cs="Arial"/>
                <w:sz w:val="20"/>
              </w:rPr>
            </w:pPr>
          </w:p>
          <w:p w:rsidR="00DA3491" w:rsidRDefault="00DA3491" w:rsidP="00DA3491">
            <w:pPr>
              <w:tabs>
                <w:tab w:val="left" w:pos="180"/>
                <w:tab w:val="left" w:pos="5760"/>
              </w:tabs>
              <w:ind w:left="80" w:right="15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(Quando for o caso, fundamentação do não atendimento às exigências legais).</w:t>
            </w:r>
          </w:p>
          <w:p w:rsidR="00DA3491" w:rsidRDefault="00DA3491" w:rsidP="004C3E32">
            <w:pPr>
              <w:tabs>
                <w:tab w:val="left" w:pos="180"/>
                <w:tab w:val="left" w:pos="5760"/>
              </w:tabs>
              <w:ind w:right="15"/>
              <w:jc w:val="both"/>
              <w:rPr>
                <w:rFonts w:cs="Arial"/>
                <w:sz w:val="16"/>
              </w:rPr>
            </w:pPr>
          </w:p>
          <w:p w:rsidR="00DA3491" w:rsidRPr="00DA3491" w:rsidRDefault="00DA3491" w:rsidP="00DA3491">
            <w:pPr>
              <w:tabs>
                <w:tab w:val="left" w:pos="180"/>
                <w:tab w:val="left" w:pos="5760"/>
              </w:tabs>
              <w:ind w:left="80" w:right="15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Retorne à origem.</w:t>
            </w:r>
          </w:p>
          <w:p w:rsidR="00DA3491" w:rsidRDefault="00DA3491" w:rsidP="00DA3491">
            <w:pPr>
              <w:pStyle w:val="Textodenotaderodap"/>
              <w:tabs>
                <w:tab w:val="left" w:pos="1260"/>
                <w:tab w:val="left" w:pos="4140"/>
              </w:tabs>
              <w:ind w:left="80" w:right="15"/>
              <w:rPr>
                <w:bCs/>
                <w:szCs w:val="24"/>
              </w:rPr>
            </w:pPr>
            <w:r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</w:p>
          <w:p w:rsidR="00DA3491" w:rsidRDefault="00DA3491" w:rsidP="004C3E32">
            <w:pPr>
              <w:tabs>
                <w:tab w:val="left" w:pos="1800"/>
                <w:tab w:val="left" w:pos="4500"/>
              </w:tabs>
              <w:ind w:left="80" w:right="15"/>
              <w:rPr>
                <w:rFonts w:ascii="Arial" w:hAnsi="Arial" w:cs="Arial"/>
                <w:bCs/>
                <w:sz w:val="16"/>
              </w:rPr>
            </w:pPr>
            <w:r>
              <w:rPr>
                <w:bCs/>
                <w:sz w:val="16"/>
              </w:rPr>
              <w:tab/>
            </w:r>
            <w:r>
              <w:rPr>
                <w:rFonts w:ascii="Arial" w:hAnsi="Arial" w:cs="Arial"/>
                <w:bCs/>
                <w:sz w:val="16"/>
              </w:rPr>
              <w:t>(data</w:t>
            </w:r>
            <w:proofErr w:type="gramStart"/>
            <w:r>
              <w:rPr>
                <w:rFonts w:ascii="Arial" w:hAnsi="Arial" w:cs="Arial"/>
                <w:bCs/>
                <w:sz w:val="16"/>
              </w:rPr>
              <w:t>)</w:t>
            </w:r>
            <w:proofErr w:type="gramEnd"/>
            <w:r>
              <w:rPr>
                <w:rFonts w:ascii="Arial" w:hAnsi="Arial" w:cs="Arial"/>
                <w:bCs/>
                <w:sz w:val="16"/>
              </w:rPr>
              <w:tab/>
              <w:t>(assin</w:t>
            </w:r>
            <w:r w:rsidR="004C3E32">
              <w:rPr>
                <w:rFonts w:ascii="Arial" w:hAnsi="Arial" w:cs="Arial"/>
                <w:bCs/>
                <w:sz w:val="16"/>
              </w:rPr>
              <w:t>atura do responsável / carimbo)</w:t>
            </w:r>
          </w:p>
        </w:tc>
      </w:tr>
    </w:tbl>
    <w:p w:rsidR="00DA3491" w:rsidRDefault="00DA3491" w:rsidP="00780FD2">
      <w:pPr>
        <w:rPr>
          <w:sz w:val="28"/>
          <w:szCs w:val="28"/>
        </w:rPr>
      </w:pPr>
    </w:p>
    <w:p w:rsidR="004C3E32" w:rsidRDefault="004C3E32" w:rsidP="00780FD2">
      <w:pPr>
        <w:rPr>
          <w:sz w:val="28"/>
          <w:szCs w:val="28"/>
        </w:rPr>
      </w:pPr>
    </w:p>
    <w:p w:rsidR="004C3E32" w:rsidRDefault="004C3E32" w:rsidP="00780FD2">
      <w:pPr>
        <w:rPr>
          <w:sz w:val="28"/>
          <w:szCs w:val="28"/>
        </w:rPr>
      </w:pPr>
    </w:p>
    <w:p w:rsidR="00DA3491" w:rsidRDefault="00DA3491" w:rsidP="00D038C6">
      <w:pPr>
        <w:ind w:right="15"/>
      </w:pPr>
    </w:p>
    <w:sectPr w:rsidR="00DA3491" w:rsidSect="00D038C6">
      <w:pgSz w:w="11906" w:h="16838"/>
      <w:pgMar w:top="142" w:right="1274" w:bottom="0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6D8" w:rsidRDefault="00A256D8" w:rsidP="00DA3491">
      <w:pPr>
        <w:spacing w:after="0" w:line="240" w:lineRule="auto"/>
      </w:pPr>
      <w:r>
        <w:separator/>
      </w:r>
    </w:p>
  </w:endnote>
  <w:endnote w:type="continuationSeparator" w:id="0">
    <w:p w:rsidR="00A256D8" w:rsidRDefault="00A256D8" w:rsidP="00DA3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6D8" w:rsidRDefault="00A256D8" w:rsidP="00DA3491">
      <w:pPr>
        <w:spacing w:after="0" w:line="240" w:lineRule="auto"/>
      </w:pPr>
      <w:r>
        <w:separator/>
      </w:r>
    </w:p>
  </w:footnote>
  <w:footnote w:type="continuationSeparator" w:id="0">
    <w:p w:rsidR="00A256D8" w:rsidRDefault="00A256D8" w:rsidP="00DA3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C2815"/>
    <w:multiLevelType w:val="hybridMultilevel"/>
    <w:tmpl w:val="294A792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FD2"/>
    <w:rsid w:val="00194053"/>
    <w:rsid w:val="001956E6"/>
    <w:rsid w:val="002E04BD"/>
    <w:rsid w:val="003746E4"/>
    <w:rsid w:val="004C3E32"/>
    <w:rsid w:val="00780FD2"/>
    <w:rsid w:val="00803644"/>
    <w:rsid w:val="00A256D8"/>
    <w:rsid w:val="00A91A88"/>
    <w:rsid w:val="00D038C6"/>
    <w:rsid w:val="00DA3491"/>
    <w:rsid w:val="00E4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A34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DA3491"/>
    <w:pPr>
      <w:keepNext/>
      <w:spacing w:after="0" w:line="240" w:lineRule="auto"/>
      <w:outlineLvl w:val="1"/>
    </w:pPr>
    <w:rPr>
      <w:rFonts w:ascii="Arial" w:eastAsia="Times New Roman" w:hAnsi="Arial" w:cs="Times New Roman"/>
      <w:b/>
      <w:sz w:val="20"/>
      <w:szCs w:val="24"/>
      <w:lang w:eastAsia="pt-BR"/>
    </w:rPr>
  </w:style>
  <w:style w:type="paragraph" w:styleId="Ttulo7">
    <w:name w:val="heading 7"/>
    <w:basedOn w:val="Normal"/>
    <w:next w:val="Normal"/>
    <w:link w:val="Ttulo7Char"/>
    <w:qFormat/>
    <w:rsid w:val="00DA349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360"/>
        <w:tab w:val="left" w:pos="3240"/>
      </w:tabs>
      <w:spacing w:after="0" w:line="240" w:lineRule="auto"/>
      <w:outlineLvl w:val="6"/>
    </w:pPr>
    <w:rPr>
      <w:rFonts w:ascii="Arial" w:eastAsia="Times New Roman" w:hAnsi="Arial" w:cs="Times New Roman"/>
      <w:b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80FD2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780FD2"/>
    <w:rPr>
      <w:color w:val="0563C1" w:themeColor="hyperlink"/>
      <w:u w:val="single"/>
    </w:rPr>
  </w:style>
  <w:style w:type="character" w:customStyle="1" w:styleId="Ttulo2Char">
    <w:name w:val="Título 2 Char"/>
    <w:basedOn w:val="Fontepargpadro"/>
    <w:link w:val="Ttulo2"/>
    <w:rsid w:val="00DA3491"/>
    <w:rPr>
      <w:rFonts w:ascii="Arial" w:eastAsia="Times New Roman" w:hAnsi="Arial" w:cs="Times New Roman"/>
      <w:b/>
      <w:sz w:val="20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DA3491"/>
    <w:rPr>
      <w:rFonts w:ascii="Arial" w:eastAsia="Times New Roman" w:hAnsi="Arial" w:cs="Times New Roman"/>
      <w:b/>
      <w:sz w:val="20"/>
      <w:szCs w:val="24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DA349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DA3491"/>
    <w:rPr>
      <w:rFonts w:ascii="Arial" w:eastAsia="Times New Roman" w:hAnsi="Arial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34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A3491"/>
  </w:style>
  <w:style w:type="paragraph" w:styleId="Rodap">
    <w:name w:val="footer"/>
    <w:basedOn w:val="Normal"/>
    <w:link w:val="RodapChar"/>
    <w:uiPriority w:val="99"/>
    <w:unhideWhenUsed/>
    <w:rsid w:val="00DA34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A3491"/>
  </w:style>
  <w:style w:type="character" w:customStyle="1" w:styleId="Ttulo1Char">
    <w:name w:val="Título 1 Char"/>
    <w:basedOn w:val="Fontepargpadro"/>
    <w:link w:val="Ttulo1"/>
    <w:uiPriority w:val="9"/>
    <w:rsid w:val="00DA349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Legenda">
    <w:name w:val="caption"/>
    <w:basedOn w:val="Normal"/>
    <w:next w:val="Normal"/>
    <w:qFormat/>
    <w:rsid w:val="00DA3491"/>
    <w:pPr>
      <w:spacing w:after="0" w:line="240" w:lineRule="auto"/>
      <w:ind w:right="15"/>
      <w:jc w:val="center"/>
    </w:pPr>
    <w:rPr>
      <w:rFonts w:ascii="Arial" w:eastAsia="Times New Roman" w:hAnsi="Arial" w:cs="Arial"/>
      <w:b/>
      <w:sz w:val="20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C3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C3E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A34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DA3491"/>
    <w:pPr>
      <w:keepNext/>
      <w:spacing w:after="0" w:line="240" w:lineRule="auto"/>
      <w:outlineLvl w:val="1"/>
    </w:pPr>
    <w:rPr>
      <w:rFonts w:ascii="Arial" w:eastAsia="Times New Roman" w:hAnsi="Arial" w:cs="Times New Roman"/>
      <w:b/>
      <w:sz w:val="20"/>
      <w:szCs w:val="24"/>
      <w:lang w:eastAsia="pt-BR"/>
    </w:rPr>
  </w:style>
  <w:style w:type="paragraph" w:styleId="Ttulo7">
    <w:name w:val="heading 7"/>
    <w:basedOn w:val="Normal"/>
    <w:next w:val="Normal"/>
    <w:link w:val="Ttulo7Char"/>
    <w:qFormat/>
    <w:rsid w:val="00DA349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360"/>
        <w:tab w:val="left" w:pos="3240"/>
      </w:tabs>
      <w:spacing w:after="0" w:line="240" w:lineRule="auto"/>
      <w:outlineLvl w:val="6"/>
    </w:pPr>
    <w:rPr>
      <w:rFonts w:ascii="Arial" w:eastAsia="Times New Roman" w:hAnsi="Arial" w:cs="Times New Roman"/>
      <w:b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80FD2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780FD2"/>
    <w:rPr>
      <w:color w:val="0563C1" w:themeColor="hyperlink"/>
      <w:u w:val="single"/>
    </w:rPr>
  </w:style>
  <w:style w:type="character" w:customStyle="1" w:styleId="Ttulo2Char">
    <w:name w:val="Título 2 Char"/>
    <w:basedOn w:val="Fontepargpadro"/>
    <w:link w:val="Ttulo2"/>
    <w:rsid w:val="00DA3491"/>
    <w:rPr>
      <w:rFonts w:ascii="Arial" w:eastAsia="Times New Roman" w:hAnsi="Arial" w:cs="Times New Roman"/>
      <w:b/>
      <w:sz w:val="20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DA3491"/>
    <w:rPr>
      <w:rFonts w:ascii="Arial" w:eastAsia="Times New Roman" w:hAnsi="Arial" w:cs="Times New Roman"/>
      <w:b/>
      <w:sz w:val="20"/>
      <w:szCs w:val="24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DA349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DA3491"/>
    <w:rPr>
      <w:rFonts w:ascii="Arial" w:eastAsia="Times New Roman" w:hAnsi="Arial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A34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A3491"/>
  </w:style>
  <w:style w:type="paragraph" w:styleId="Rodap">
    <w:name w:val="footer"/>
    <w:basedOn w:val="Normal"/>
    <w:link w:val="RodapChar"/>
    <w:uiPriority w:val="99"/>
    <w:unhideWhenUsed/>
    <w:rsid w:val="00DA34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A3491"/>
  </w:style>
  <w:style w:type="character" w:customStyle="1" w:styleId="Ttulo1Char">
    <w:name w:val="Título 1 Char"/>
    <w:basedOn w:val="Fontepargpadro"/>
    <w:link w:val="Ttulo1"/>
    <w:uiPriority w:val="9"/>
    <w:rsid w:val="00DA349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Legenda">
    <w:name w:val="caption"/>
    <w:basedOn w:val="Normal"/>
    <w:next w:val="Normal"/>
    <w:qFormat/>
    <w:rsid w:val="00DA3491"/>
    <w:pPr>
      <w:spacing w:after="0" w:line="240" w:lineRule="auto"/>
      <w:ind w:right="15"/>
      <w:jc w:val="center"/>
    </w:pPr>
    <w:rPr>
      <w:rFonts w:ascii="Arial" w:eastAsia="Times New Roman" w:hAnsi="Arial" w:cs="Arial"/>
      <w:b/>
      <w:sz w:val="20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C3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C3E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0" Type="http://schemas.openxmlformats.org/officeDocument/2006/relationships/hyperlink" Target="http://www.justicaeleitoral.jus.br/arquivos/tre-sp-tabela-de-desincompatibilizacaoeleicoes-201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cursoshumanos.sp.gov.br/11a03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1293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Regina Hamaue Prestes</dc:creator>
  <cp:keywords/>
  <dc:description/>
  <cp:lastModifiedBy>FDE</cp:lastModifiedBy>
  <cp:revision>8</cp:revision>
  <dcterms:created xsi:type="dcterms:W3CDTF">2016-06-20T18:19:00Z</dcterms:created>
  <dcterms:modified xsi:type="dcterms:W3CDTF">2016-06-23T12:43:00Z</dcterms:modified>
</cp:coreProperties>
</file>