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10061"/>
      </w:tblGrid>
      <w:tr w:rsidR="00B4247C" w:rsidRPr="00B4247C" w:rsidTr="00B4247C">
        <w:tc>
          <w:tcPr>
            <w:tcW w:w="10061" w:type="dxa"/>
            <w:vAlign w:val="center"/>
          </w:tcPr>
          <w:p w:rsidR="00B4247C" w:rsidRPr="00B4247C" w:rsidRDefault="000F6C5C" w:rsidP="000F6C5C">
            <w:pPr>
              <w:shd w:val="clear" w:color="auto" w:fill="FFFFFF"/>
              <w:jc w:val="center"/>
              <w:outlineLvl w:val="0"/>
              <w:rPr>
                <w:rFonts w:ascii="Arial" w:eastAsia="Times New Roman" w:hAnsi="Arial" w:cs="Arial"/>
                <w:b/>
                <w:bCs/>
                <w:color w:val="003366"/>
                <w:kern w:val="36"/>
                <w:sz w:val="32"/>
                <w:szCs w:val="32"/>
                <w:lang w:eastAsia="pt-BR"/>
              </w:rPr>
            </w:pPr>
            <w:r>
              <w:rPr>
                <w:rFonts w:ascii="Arial" w:eastAsia="Times New Roman" w:hAnsi="Arial" w:cs="Arial"/>
                <w:b/>
                <w:bCs/>
                <w:color w:val="003366"/>
                <w:kern w:val="36"/>
                <w:sz w:val="28"/>
                <w:szCs w:val="28"/>
                <w:lang w:eastAsia="pt-BR"/>
              </w:rPr>
              <w:t xml:space="preserve">Legislação de </w:t>
            </w:r>
            <w:r w:rsidRPr="00360791">
              <w:rPr>
                <w:rFonts w:ascii="Arial" w:eastAsia="Times New Roman" w:hAnsi="Arial" w:cs="Arial"/>
                <w:b/>
                <w:bCs/>
                <w:color w:val="003366"/>
                <w:kern w:val="36"/>
                <w:sz w:val="28"/>
                <w:szCs w:val="28"/>
                <w:lang w:eastAsia="pt-BR"/>
              </w:rPr>
              <w:t>Licença Prêmio</w:t>
            </w:r>
          </w:p>
        </w:tc>
      </w:tr>
      <w:tr w:rsidR="00B4247C" w:rsidRPr="00B4247C" w:rsidTr="00B4247C">
        <w:trPr>
          <w:trHeight w:val="462"/>
        </w:trPr>
        <w:tc>
          <w:tcPr>
            <w:tcW w:w="10061" w:type="dxa"/>
            <w:vAlign w:val="center"/>
          </w:tcPr>
          <w:p w:rsidR="00B4247C" w:rsidRPr="00B4247C" w:rsidRDefault="00B4247C" w:rsidP="000F6C5C">
            <w:pPr>
              <w:spacing w:line="276" w:lineRule="auto"/>
              <w:jc w:val="center"/>
            </w:pPr>
            <w:r>
              <w:t xml:space="preserve">Fonte: </w:t>
            </w:r>
            <w:hyperlink r:id="rId8" w:history="1">
              <w:r w:rsidRPr="00B4247C">
                <w:rPr>
                  <w:rStyle w:val="Hyperlink"/>
                  <w:sz w:val="20"/>
                  <w:szCs w:val="20"/>
                </w:rPr>
                <w:t>www.recursoshumanos.sp.gov.br/manualPremio.html</w:t>
              </w:r>
            </w:hyperlink>
            <w:r w:rsidRPr="00B4247C">
              <w:rPr>
                <w:sz w:val="20"/>
                <w:szCs w:val="20"/>
              </w:rPr>
              <w:t xml:space="preserve"> (acesso: 2</w:t>
            </w:r>
            <w:r w:rsidR="000F6C5C">
              <w:rPr>
                <w:sz w:val="20"/>
                <w:szCs w:val="20"/>
              </w:rPr>
              <w:t>4</w:t>
            </w:r>
            <w:r w:rsidRPr="00B4247C">
              <w:rPr>
                <w:sz w:val="20"/>
                <w:szCs w:val="20"/>
              </w:rPr>
              <w:t>/0</w:t>
            </w:r>
            <w:r w:rsidR="000F6C5C">
              <w:rPr>
                <w:sz w:val="20"/>
                <w:szCs w:val="20"/>
              </w:rPr>
              <w:t>6</w:t>
            </w:r>
            <w:r w:rsidRPr="00B4247C">
              <w:rPr>
                <w:sz w:val="20"/>
                <w:szCs w:val="20"/>
              </w:rPr>
              <w:t xml:space="preserve">/2014 </w:t>
            </w:r>
            <w:proofErr w:type="gramStart"/>
            <w:r w:rsidR="000F6C5C">
              <w:rPr>
                <w:sz w:val="20"/>
                <w:szCs w:val="20"/>
              </w:rPr>
              <w:t>10</w:t>
            </w:r>
            <w:r w:rsidRPr="00B4247C">
              <w:rPr>
                <w:sz w:val="20"/>
                <w:szCs w:val="20"/>
              </w:rPr>
              <w:t>:55</w:t>
            </w:r>
            <w:proofErr w:type="gramEnd"/>
            <w:r w:rsidRPr="00B4247C">
              <w:rPr>
                <w:sz w:val="20"/>
                <w:szCs w:val="20"/>
              </w:rPr>
              <w:t>h).</w:t>
            </w:r>
          </w:p>
        </w:tc>
      </w:tr>
    </w:tbl>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Os servidores da administração direta e das autarquias, submetidos ao regime estatutário, e os militares terão direito, como prêmio de assiduidade, a 90 (noventa) dias de licença em cada período de 5 (cinco) anos de exercício, desde que não tenham sofrido qualquer penalidade administrativa (L. 10.261/68 - </w:t>
      </w:r>
      <w:proofErr w:type="spellStart"/>
      <w:r w:rsidRPr="00360791">
        <w:rPr>
          <w:rFonts w:ascii="Arial" w:eastAsia="Times New Roman" w:hAnsi="Arial" w:cs="Arial"/>
          <w:color w:val="333333"/>
          <w:lang w:eastAsia="pt-BR"/>
        </w:rPr>
        <w:t>Arts</w:t>
      </w:r>
      <w:proofErr w:type="spellEnd"/>
      <w:r w:rsidRPr="00360791">
        <w:rPr>
          <w:rFonts w:ascii="Arial" w:eastAsia="Times New Roman" w:hAnsi="Arial" w:cs="Arial"/>
          <w:color w:val="333333"/>
          <w:lang w:eastAsia="pt-BR"/>
        </w:rPr>
        <w:t>. 209 e 324).</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 período de licença-prêmio é considerado de efetivo exercício para todos os efeitos legais (L. 10.261/68 - </w:t>
      </w:r>
      <w:proofErr w:type="spellStart"/>
      <w:r w:rsidRPr="00360791">
        <w:rPr>
          <w:rFonts w:ascii="Arial" w:eastAsia="Times New Roman" w:hAnsi="Arial" w:cs="Arial"/>
          <w:color w:val="333333"/>
          <w:lang w:eastAsia="pt-BR"/>
        </w:rPr>
        <w:t>Arts</w:t>
      </w:r>
      <w:proofErr w:type="spellEnd"/>
      <w:r w:rsidRPr="00360791">
        <w:rPr>
          <w:rFonts w:ascii="Arial" w:eastAsia="Times New Roman" w:hAnsi="Arial" w:cs="Arial"/>
          <w:color w:val="333333"/>
          <w:lang w:eastAsia="pt-BR"/>
        </w:rPr>
        <w:t xml:space="preserve">. </w:t>
      </w:r>
      <w:proofErr w:type="gramStart"/>
      <w:r w:rsidRPr="00360791">
        <w:rPr>
          <w:rFonts w:ascii="Arial" w:eastAsia="Times New Roman" w:hAnsi="Arial" w:cs="Arial"/>
          <w:color w:val="333333"/>
          <w:lang w:eastAsia="pt-BR"/>
        </w:rPr>
        <w:t>78, IX</w:t>
      </w:r>
      <w:proofErr w:type="gramEnd"/>
      <w:r w:rsidRPr="00360791">
        <w:rPr>
          <w:rFonts w:ascii="Arial" w:eastAsia="Times New Roman" w:hAnsi="Arial" w:cs="Arial"/>
          <w:color w:val="333333"/>
          <w:lang w:eastAsia="pt-BR"/>
        </w:rPr>
        <w:t xml:space="preserve"> e 209, parágrafo único).</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A falta injustificada e as penalidades administrativas aplicadas ao servidor interrompem o período qüinqüenal para fins de licença-prêmio.</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color w:val="333333"/>
          <w:lang w:eastAsia="pt-BR"/>
        </w:rPr>
        <w:t>Os afastamentos enumerados no </w:t>
      </w:r>
      <w:r w:rsidRPr="00360791">
        <w:rPr>
          <w:rFonts w:ascii="Arial" w:eastAsia="Times New Roman" w:hAnsi="Arial" w:cs="Arial"/>
          <w:b/>
          <w:bCs/>
          <w:color w:val="333333"/>
          <w:lang w:eastAsia="pt-BR"/>
        </w:rPr>
        <w:t>artigo 78 da Lei nº 10.261/68</w:t>
      </w:r>
      <w:r w:rsidRPr="00360791">
        <w:rPr>
          <w:rFonts w:ascii="Arial" w:eastAsia="Times New Roman" w:hAnsi="Arial" w:cs="Arial"/>
          <w:color w:val="333333"/>
          <w:lang w:eastAsia="pt-BR"/>
        </w:rPr>
        <w:t>, excetuado o previsto no </w:t>
      </w:r>
      <w:r w:rsidRPr="00360791">
        <w:rPr>
          <w:rFonts w:ascii="Arial" w:eastAsia="Times New Roman" w:hAnsi="Arial" w:cs="Arial"/>
          <w:b/>
          <w:bCs/>
          <w:color w:val="333333"/>
          <w:lang w:eastAsia="pt-BR"/>
        </w:rPr>
        <w:t>inciso X do artigo 78</w:t>
      </w:r>
      <w:r w:rsidRPr="00360791">
        <w:rPr>
          <w:rFonts w:ascii="Arial" w:eastAsia="Times New Roman" w:hAnsi="Arial" w:cs="Arial"/>
          <w:color w:val="333333"/>
          <w:lang w:eastAsia="pt-BR"/>
        </w:rPr>
        <w:t> (falta abonada) não interrompem o período qüinqüenal (Lei 10.261/68, art. 210, inciso I).</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Os afastamentos abaixo enumerados não interrompem o período qüinqüenal desde que não ultrapassem o limite máximo de 30 (trinta) dias no período de 05 (cinco) anos (Lei 10.261/68 art. 210, inciso II):</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faltas</w:t>
      </w:r>
      <w:proofErr w:type="gramEnd"/>
      <w:r w:rsidRPr="00360791">
        <w:rPr>
          <w:rFonts w:ascii="Arial" w:eastAsia="Times New Roman" w:hAnsi="Arial" w:cs="Arial"/>
          <w:color w:val="333333"/>
          <w:lang w:eastAsia="pt-BR"/>
        </w:rPr>
        <w:t xml:space="preserve"> abonadas;</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faltas</w:t>
      </w:r>
      <w:proofErr w:type="gramEnd"/>
      <w:r w:rsidRPr="00360791">
        <w:rPr>
          <w:rFonts w:ascii="Arial" w:eastAsia="Times New Roman" w:hAnsi="Arial" w:cs="Arial"/>
          <w:color w:val="333333"/>
          <w:lang w:eastAsia="pt-BR"/>
        </w:rPr>
        <w:t xml:space="preserve"> justificadas;</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licença</w:t>
      </w:r>
      <w:proofErr w:type="gramEnd"/>
      <w:r w:rsidRPr="00360791">
        <w:rPr>
          <w:rFonts w:ascii="Arial" w:eastAsia="Times New Roman" w:hAnsi="Arial" w:cs="Arial"/>
          <w:color w:val="333333"/>
          <w:lang w:eastAsia="pt-BR"/>
        </w:rPr>
        <w:t xml:space="preserve"> para tratamento de saúde;</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licença</w:t>
      </w:r>
      <w:proofErr w:type="gramEnd"/>
      <w:r w:rsidRPr="00360791">
        <w:rPr>
          <w:rFonts w:ascii="Arial" w:eastAsia="Times New Roman" w:hAnsi="Arial" w:cs="Arial"/>
          <w:color w:val="333333"/>
          <w:lang w:eastAsia="pt-BR"/>
        </w:rPr>
        <w:t xml:space="preserve"> por motivo de doença em pessoa da família;</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falta</w:t>
      </w:r>
      <w:proofErr w:type="gramEnd"/>
      <w:r w:rsidRPr="00360791">
        <w:rPr>
          <w:rFonts w:ascii="Arial" w:eastAsia="Times New Roman" w:hAnsi="Arial" w:cs="Arial"/>
          <w:color w:val="333333"/>
          <w:lang w:eastAsia="pt-BR"/>
        </w:rPr>
        <w:t xml:space="preserve"> médica (antiga 'falta </w:t>
      </w:r>
      <w:proofErr w:type="spellStart"/>
      <w:r w:rsidRPr="00360791">
        <w:rPr>
          <w:rFonts w:ascii="Arial" w:eastAsia="Times New Roman" w:hAnsi="Arial" w:cs="Arial"/>
          <w:color w:val="333333"/>
          <w:lang w:eastAsia="pt-BR"/>
        </w:rPr>
        <w:t>Iamspe</w:t>
      </w:r>
      <w:proofErr w:type="spellEnd"/>
      <w:r w:rsidRPr="00360791">
        <w:rPr>
          <w:rFonts w:ascii="Arial" w:eastAsia="Times New Roman" w:hAnsi="Arial" w:cs="Arial"/>
          <w:color w:val="333333"/>
          <w:lang w:eastAsia="pt-BR"/>
        </w:rPr>
        <w:t xml:space="preserve">'), LC. </w:t>
      </w:r>
      <w:proofErr w:type="gramStart"/>
      <w:r w:rsidRPr="00360791">
        <w:rPr>
          <w:rFonts w:ascii="Arial" w:eastAsia="Times New Roman" w:hAnsi="Arial" w:cs="Arial"/>
          <w:color w:val="333333"/>
          <w:lang w:eastAsia="pt-BR"/>
        </w:rPr>
        <w:t>nº</w:t>
      </w:r>
      <w:proofErr w:type="gramEnd"/>
      <w:r w:rsidRPr="00360791">
        <w:rPr>
          <w:rFonts w:ascii="Arial" w:eastAsia="Times New Roman" w:hAnsi="Arial" w:cs="Arial"/>
          <w:color w:val="333333"/>
          <w:lang w:eastAsia="pt-BR"/>
        </w:rPr>
        <w:t xml:space="preserve"> 1.041/2008;</w:t>
      </w:r>
    </w:p>
    <w:p w:rsidR="00360791" w:rsidRPr="00360791" w:rsidRDefault="00360791" w:rsidP="00360791">
      <w:pPr>
        <w:pStyle w:val="PargrafodaLista"/>
        <w:numPr>
          <w:ilvl w:val="0"/>
          <w:numId w:val="2"/>
        </w:numPr>
        <w:shd w:val="clear" w:color="auto" w:fill="FFFFFF"/>
        <w:spacing w:after="0"/>
        <w:jc w:val="both"/>
        <w:rPr>
          <w:rFonts w:ascii="Arial" w:eastAsia="Times New Roman" w:hAnsi="Arial" w:cs="Arial"/>
          <w:color w:val="333333"/>
          <w:lang w:eastAsia="pt-BR"/>
        </w:rPr>
      </w:pPr>
      <w:proofErr w:type="gramStart"/>
      <w:r w:rsidRPr="00360791">
        <w:rPr>
          <w:rFonts w:ascii="Arial" w:eastAsia="Times New Roman" w:hAnsi="Arial" w:cs="Arial"/>
          <w:color w:val="333333"/>
          <w:lang w:eastAsia="pt-BR"/>
        </w:rPr>
        <w:t>os</w:t>
      </w:r>
      <w:proofErr w:type="gramEnd"/>
      <w:r w:rsidRPr="00360791">
        <w:rPr>
          <w:rFonts w:ascii="Arial" w:eastAsia="Times New Roman" w:hAnsi="Arial" w:cs="Arial"/>
          <w:color w:val="333333"/>
          <w:lang w:eastAsia="pt-BR"/>
        </w:rPr>
        <w:t xml:space="preserve"> períodos de afastamento autorizados nos termos dos artigos 65 e 66 da Lei nº 10.261/68 perante órgão do estado e suas autarquias (Administração Direta, suas Autarquias ou Poderes do Estado) não há de ser considerado causa de interrupção de exercício para fins de aquisição de bloco de licença-prêmio (Parecer PA nº 79/10 e Comunicado UCRH nº 51/10).</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A concessão da licença se dará mediante Certidão de Tempo de Serviço, </w:t>
      </w:r>
      <w:r w:rsidRPr="00360791">
        <w:rPr>
          <w:rFonts w:ascii="Arial" w:eastAsia="Times New Roman" w:hAnsi="Arial" w:cs="Arial"/>
          <w:b/>
          <w:color w:val="333333"/>
          <w:lang w:eastAsia="pt-BR"/>
        </w:rPr>
        <w:t>independente de requerimento do servidor</w:t>
      </w:r>
      <w:r w:rsidRPr="00360791">
        <w:rPr>
          <w:rFonts w:ascii="Arial" w:eastAsia="Times New Roman" w:hAnsi="Arial" w:cs="Arial"/>
          <w:color w:val="333333"/>
          <w:lang w:eastAsia="pt-BR"/>
        </w:rPr>
        <w:t>, e será publicada no Diário Oficial do Estado.</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A competência para a concessão será do órgão de recursos humanos no qual o servidor se encontra classificado.</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color w:val="333333"/>
          <w:lang w:eastAsia="pt-BR"/>
        </w:rPr>
        <w:t>Depois de concedida o servidor poderá requerer oportunamente o gozo da licença-prêmio ao superior imediato, por inteiro </w:t>
      </w:r>
      <w:r w:rsidRPr="00360791">
        <w:rPr>
          <w:rFonts w:ascii="Arial" w:eastAsia="Times New Roman" w:hAnsi="Arial" w:cs="Arial"/>
          <w:b/>
          <w:bCs/>
          <w:color w:val="333333"/>
          <w:lang w:eastAsia="pt-BR"/>
        </w:rPr>
        <w:t>ou em parcelas não inferiores a 15 (quinze) dias</w:t>
      </w:r>
      <w:r w:rsidRPr="00360791">
        <w:rPr>
          <w:rFonts w:ascii="Arial" w:eastAsia="Times New Roman" w:hAnsi="Arial" w:cs="Arial"/>
          <w:color w:val="333333"/>
          <w:lang w:eastAsia="pt-BR"/>
        </w:rPr>
        <w:t> (L. 10.261/68 - Art. 213 (redação dada pela LC. 1048/08). O servidor poderá usufruir em descanso cada bloco de 90 dias, cabendo ao órgão de recursos humanos responsável, a averiguação do gozo dos períodos fracionados, de modo a evitar que a última parcela não resulte em período inferior a 15 (quinze) dias.</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A competência para a publicação da autorização do gozo será do órgão de recursos humanos no qual o servidor se encontrar em exercício.</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color w:val="333333"/>
          <w:lang w:eastAsia="pt-BR"/>
        </w:rPr>
        <w:t>A autorização do gozo da licença-prêmio deverá ser </w:t>
      </w:r>
      <w:r w:rsidRPr="00360791">
        <w:rPr>
          <w:rFonts w:ascii="Arial" w:eastAsia="Times New Roman" w:hAnsi="Arial" w:cs="Arial"/>
          <w:b/>
          <w:bCs/>
          <w:color w:val="333333"/>
          <w:lang w:eastAsia="pt-BR"/>
        </w:rPr>
        <w:t>aguardada em exercício. Publicada</w:t>
      </w:r>
      <w:r w:rsidRPr="00360791">
        <w:rPr>
          <w:rFonts w:ascii="Arial" w:eastAsia="Times New Roman" w:hAnsi="Arial" w:cs="Arial"/>
          <w:color w:val="333333"/>
          <w:lang w:eastAsia="pt-BR"/>
        </w:rPr>
        <w:t> a autorização, se não for iniciado o gozo no prazo de </w:t>
      </w:r>
      <w:r w:rsidRPr="00360791">
        <w:rPr>
          <w:rFonts w:ascii="Arial" w:eastAsia="Times New Roman" w:hAnsi="Arial" w:cs="Arial"/>
          <w:b/>
          <w:bCs/>
          <w:color w:val="333333"/>
          <w:lang w:eastAsia="pt-BR"/>
        </w:rPr>
        <w:t>30 (trinta)</w:t>
      </w:r>
      <w:r w:rsidRPr="00360791">
        <w:rPr>
          <w:rFonts w:ascii="Arial" w:eastAsia="Times New Roman" w:hAnsi="Arial" w:cs="Arial"/>
          <w:color w:val="333333"/>
          <w:lang w:eastAsia="pt-BR"/>
        </w:rPr>
        <w:t xml:space="preserve"> dias, será necessário novo requerimento e nova publicação (Lei 10.261/68, art. 214 redação dada pela </w:t>
      </w:r>
      <w:proofErr w:type="gramStart"/>
      <w:r w:rsidRPr="00360791">
        <w:rPr>
          <w:rFonts w:ascii="Arial" w:eastAsia="Times New Roman" w:hAnsi="Arial" w:cs="Arial"/>
          <w:color w:val="333333"/>
          <w:lang w:eastAsia="pt-BR"/>
        </w:rPr>
        <w:t>LC.</w:t>
      </w:r>
      <w:proofErr w:type="gramEnd"/>
      <w:r w:rsidRPr="00360791">
        <w:rPr>
          <w:rFonts w:ascii="Arial" w:eastAsia="Times New Roman" w:hAnsi="Arial" w:cs="Arial"/>
          <w:color w:val="333333"/>
          <w:lang w:eastAsia="pt-BR"/>
        </w:rPr>
        <w:t>1048/08; D.42.850/63 - art. 513).</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O direito ao gozo de períodos de licença-prêmio concedidos e não usufruídos em razão do prazo previsto na Lei Complementar nº 857, de 20 de maio de 1999, fica restabelecido nos termos do disposto no inciso II, do artigo 1º das Disposições Transitórias da Lei Complementar nº 1048, de 10 de junho de 2008.</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b/>
          <w:bCs/>
          <w:color w:val="333333"/>
          <w:lang w:eastAsia="pt-BR"/>
        </w:rPr>
        <w:lastRenderedPageBreak/>
        <w:t>O servidor que tiver licença-prêmio não gozada</w:t>
      </w:r>
      <w:proofErr w:type="gramStart"/>
      <w:r w:rsidRPr="00360791">
        <w:rPr>
          <w:rFonts w:ascii="Arial" w:eastAsia="Times New Roman" w:hAnsi="Arial" w:cs="Arial"/>
          <w:b/>
          <w:bCs/>
          <w:color w:val="333333"/>
          <w:lang w:eastAsia="pt-BR"/>
        </w:rPr>
        <w:t>, poderá</w:t>
      </w:r>
      <w:proofErr w:type="gramEnd"/>
      <w:r w:rsidRPr="00360791">
        <w:rPr>
          <w:rFonts w:ascii="Arial" w:eastAsia="Times New Roman" w:hAnsi="Arial" w:cs="Arial"/>
          <w:b/>
          <w:bCs/>
          <w:color w:val="333333"/>
          <w:lang w:eastAsia="pt-BR"/>
        </w:rPr>
        <w:t xml:space="preserve"> na mesma data em que requerer a aposentadoria</w:t>
      </w:r>
      <w:r w:rsidRPr="00360791">
        <w:rPr>
          <w:rFonts w:ascii="Arial" w:eastAsia="Times New Roman" w:hAnsi="Arial" w:cs="Arial"/>
          <w:color w:val="333333"/>
          <w:lang w:eastAsia="pt-BR"/>
        </w:rPr>
        <w:t>, solicitar a indenização das licenças-prêmios averbadas para gozo oportuno, </w:t>
      </w:r>
      <w:r w:rsidRPr="00360791">
        <w:rPr>
          <w:rFonts w:ascii="Arial" w:eastAsia="Times New Roman" w:hAnsi="Arial" w:cs="Arial"/>
          <w:b/>
          <w:bCs/>
          <w:color w:val="333333"/>
          <w:lang w:eastAsia="pt-BR"/>
        </w:rPr>
        <w:t>vencidas até 31/12/85</w:t>
      </w:r>
      <w:r w:rsidRPr="00360791">
        <w:rPr>
          <w:rFonts w:ascii="Arial" w:eastAsia="Times New Roman" w:hAnsi="Arial" w:cs="Arial"/>
          <w:color w:val="333333"/>
          <w:lang w:eastAsia="pt-BR"/>
        </w:rPr>
        <w:t> e desde que não tenham sido utilizadas para qualquer outro efeito legal - D. 25.013/86. Nestes casos é de competência do Coordenador da Administração Financeira, da Secretaria da Fazenda, decidir sobre os pedidos de indenização (Res. SF -16 de 08/04/2008).</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 servidor que completou o interstício temporal para aquisição da licença-prêmio até 26/12/89, data anterior à vigência da </w:t>
      </w:r>
      <w:proofErr w:type="spellStart"/>
      <w:r w:rsidRPr="00360791">
        <w:rPr>
          <w:rFonts w:ascii="Arial" w:eastAsia="Times New Roman" w:hAnsi="Arial" w:cs="Arial"/>
          <w:color w:val="333333"/>
          <w:lang w:eastAsia="pt-BR"/>
        </w:rPr>
        <w:t>L.C.</w:t>
      </w:r>
      <w:proofErr w:type="spellEnd"/>
      <w:r w:rsidRPr="00360791">
        <w:rPr>
          <w:rFonts w:ascii="Arial" w:eastAsia="Times New Roman" w:hAnsi="Arial" w:cs="Arial"/>
          <w:color w:val="333333"/>
          <w:lang w:eastAsia="pt-BR"/>
        </w:rPr>
        <w:t xml:space="preserve"> 644/89, que revogou o artigo 215 da Lei 10.261/68, poderá solicitar a conversão da metade do bloco da licença-prêmio em pecúnia, desde que tivesse pelo menos 15 (quinze) anos de serviço na data da promulgação da </w:t>
      </w:r>
      <w:proofErr w:type="spellStart"/>
      <w:r w:rsidRPr="00360791">
        <w:rPr>
          <w:rFonts w:ascii="Arial" w:eastAsia="Times New Roman" w:hAnsi="Arial" w:cs="Arial"/>
          <w:color w:val="333333"/>
          <w:lang w:eastAsia="pt-BR"/>
        </w:rPr>
        <w:t>L.C.</w:t>
      </w:r>
      <w:proofErr w:type="spellEnd"/>
      <w:r w:rsidRPr="00360791">
        <w:rPr>
          <w:rFonts w:ascii="Arial" w:eastAsia="Times New Roman" w:hAnsi="Arial" w:cs="Arial"/>
          <w:color w:val="333333"/>
          <w:lang w:eastAsia="pt-BR"/>
        </w:rPr>
        <w:t xml:space="preserve"> 644/89.</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As indenizações por exoneração "ex </w:t>
      </w:r>
      <w:proofErr w:type="spellStart"/>
      <w:r w:rsidRPr="00360791">
        <w:rPr>
          <w:rFonts w:ascii="Arial" w:eastAsia="Times New Roman" w:hAnsi="Arial" w:cs="Arial"/>
          <w:color w:val="333333"/>
          <w:lang w:eastAsia="pt-BR"/>
        </w:rPr>
        <w:t>officio</w:t>
      </w:r>
      <w:proofErr w:type="spellEnd"/>
      <w:r w:rsidRPr="00360791">
        <w:rPr>
          <w:rFonts w:ascii="Arial" w:eastAsia="Times New Roman" w:hAnsi="Arial" w:cs="Arial"/>
          <w:color w:val="333333"/>
          <w:lang w:eastAsia="pt-BR"/>
        </w:rPr>
        <w:t>", aposentadoria por invalidez permanente ou falecimento, com ocorrência posterior a publicação da LC 1048/08, poderão, observada a prescrição qüinqüenal, serem requeridas a qualquer tempo, com fundamentação no artigo 3º da Lei complementar nº 1048, de 10 de junho de 2008.</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Os herdeiros, cujo falecimento do servidor público da Administração Direta ou de Autarquias do Estado tenha ocorrido anteriormente </w:t>
      </w:r>
      <w:proofErr w:type="gramStart"/>
      <w:r w:rsidRPr="00360791">
        <w:rPr>
          <w:rFonts w:ascii="Arial" w:eastAsia="Times New Roman" w:hAnsi="Arial" w:cs="Arial"/>
          <w:color w:val="333333"/>
          <w:lang w:eastAsia="pt-BR"/>
        </w:rPr>
        <w:t>a</w:t>
      </w:r>
      <w:proofErr w:type="gramEnd"/>
      <w:r w:rsidRPr="00360791">
        <w:rPr>
          <w:rFonts w:ascii="Arial" w:eastAsia="Times New Roman" w:hAnsi="Arial" w:cs="Arial"/>
          <w:color w:val="333333"/>
          <w:lang w:eastAsia="pt-BR"/>
        </w:rPr>
        <w:t xml:space="preserve"> edição da LC 1048/08, terão o direito de pleitear o pagamento dos períodos de licenças-prêmio averbados para gozo oportuno e não usufruídos ou utilizados para qualquer efeito legal (Art. 1º do D. 44.722, de 23/02/2000). A solicitação deverá ser feita mediante requerimento a ser formulado dentro do prazo de 90 (noventa) dias, contados da data do falecimento do servidor (Art. 2º do </w:t>
      </w:r>
      <w:proofErr w:type="gramStart"/>
      <w:r w:rsidRPr="00360791">
        <w:rPr>
          <w:rFonts w:ascii="Arial" w:eastAsia="Times New Roman" w:hAnsi="Arial" w:cs="Arial"/>
          <w:color w:val="333333"/>
          <w:lang w:eastAsia="pt-BR"/>
        </w:rPr>
        <w:t>D.</w:t>
      </w:r>
      <w:proofErr w:type="gramEnd"/>
      <w:r w:rsidRPr="00360791">
        <w:rPr>
          <w:rFonts w:ascii="Arial" w:eastAsia="Times New Roman" w:hAnsi="Arial" w:cs="Arial"/>
          <w:color w:val="333333"/>
          <w:lang w:eastAsia="pt-BR"/>
        </w:rPr>
        <w:t>25.353/86).</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 servidor em exercício de suas atividades públicas no dia 11 de junho de 2008, data de publicação da LC 1048/08, e que nesta data já tivesse </w:t>
      </w:r>
      <w:proofErr w:type="gramStart"/>
      <w:r w:rsidRPr="00360791">
        <w:rPr>
          <w:rFonts w:ascii="Arial" w:eastAsia="Times New Roman" w:hAnsi="Arial" w:cs="Arial"/>
          <w:color w:val="333333"/>
          <w:lang w:eastAsia="pt-BR"/>
        </w:rPr>
        <w:t>implementado</w:t>
      </w:r>
      <w:proofErr w:type="gramEnd"/>
      <w:r w:rsidRPr="00360791">
        <w:rPr>
          <w:rFonts w:ascii="Arial" w:eastAsia="Times New Roman" w:hAnsi="Arial" w:cs="Arial"/>
          <w:color w:val="333333"/>
          <w:lang w:eastAsia="pt-BR"/>
        </w:rPr>
        <w:t xml:space="preserve"> as condições para aposentadoria voluntária, poderá ser indenizado nos termos do artigo 3º da referida lei complementar, por ocasião de sua aposentadoria compulsória, desde que não tenha usufruído a licença-prêmio em gozo. (art. 2º das </w:t>
      </w:r>
      <w:proofErr w:type="spellStart"/>
      <w:proofErr w:type="gramStart"/>
      <w:r w:rsidRPr="00360791">
        <w:rPr>
          <w:rFonts w:ascii="Arial" w:eastAsia="Times New Roman" w:hAnsi="Arial" w:cs="Arial"/>
          <w:color w:val="333333"/>
          <w:lang w:eastAsia="pt-BR"/>
        </w:rPr>
        <w:t>DTs</w:t>
      </w:r>
      <w:proofErr w:type="spellEnd"/>
      <w:proofErr w:type="gramEnd"/>
      <w:r w:rsidRPr="00360791">
        <w:rPr>
          <w:rFonts w:ascii="Arial" w:eastAsia="Times New Roman" w:hAnsi="Arial" w:cs="Arial"/>
          <w:color w:val="333333"/>
          <w:lang w:eastAsia="pt-BR"/>
        </w:rPr>
        <w:t xml:space="preserve"> da LC 1048/08).</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Poderá ser </w:t>
      </w:r>
      <w:proofErr w:type="gramStart"/>
      <w:r w:rsidRPr="00360791">
        <w:rPr>
          <w:rFonts w:ascii="Arial" w:eastAsia="Times New Roman" w:hAnsi="Arial" w:cs="Arial"/>
          <w:color w:val="333333"/>
          <w:lang w:eastAsia="pt-BR"/>
        </w:rPr>
        <w:t>convertido anualmente em pecúnia, uma parcela de 30 (trinta) dias equivalentes</w:t>
      </w:r>
      <w:proofErr w:type="gramEnd"/>
      <w:r w:rsidRPr="00360791">
        <w:rPr>
          <w:rFonts w:ascii="Arial" w:eastAsia="Times New Roman" w:hAnsi="Arial" w:cs="Arial"/>
          <w:color w:val="333333"/>
          <w:lang w:eastAsia="pt-BR"/>
        </w:rPr>
        <w:t xml:space="preserve"> aos vencimentos mensais, aos integrantes das Carreiras da Polícia Civil, da Superintendência Técnico Científica e da Polícia Militar do Estado de São Paulo (LC 989/06), do Quadro do Magistério e do Quadro de Apoio Escolar (LC 1015/07), da carreira de Agente de Segurança Penitenciária e o integrante da classe de Agente de Escolta e Vigilância Penitenciária (LC 1051/08); integrantes da série de classes de Assistente Técnico de Pesquisa Científica e Tecnológica, aos integrantes das classes de Auxiliar de Apoio à Pesquisa Científica e Tecnológica, Agente de Apoio à Pesquisa Científica e Tecnológica e, Técnico de Apoio à  Pesquisa Científica e Tecnológica, aos integrantes das classes de Auxiliar de Apoio Agropecuário, Oficial de Apoio Agropecuário, Agente de Apoio Agropecuário e Técnico de Apoio Agropecuário (LC. 1.122/10); aos servidores da área da saúde especificados na LC. 1.157/11; aos integrantes das classes de Agente de Desenvolvimento Social, Especialista em Desenvolvimento Social e Assistente Administrativo (LC. 1.173/12) e aos integrantes da carreira de Especialista Ambiental (LC. 1.181/12), que se </w:t>
      </w:r>
      <w:proofErr w:type="gramStart"/>
      <w:r w:rsidRPr="00360791">
        <w:rPr>
          <w:rFonts w:ascii="Arial" w:eastAsia="Times New Roman" w:hAnsi="Arial" w:cs="Arial"/>
          <w:color w:val="333333"/>
          <w:lang w:eastAsia="pt-BR"/>
        </w:rPr>
        <w:t>encontrem</w:t>
      </w:r>
      <w:proofErr w:type="gramEnd"/>
      <w:r w:rsidRPr="00360791">
        <w:rPr>
          <w:rFonts w:ascii="Arial" w:eastAsia="Times New Roman" w:hAnsi="Arial" w:cs="Arial"/>
          <w:color w:val="333333"/>
          <w:lang w:eastAsia="pt-BR"/>
        </w:rPr>
        <w:t xml:space="preserve"> em efetivo exercício.</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Poderá ser </w:t>
      </w:r>
      <w:proofErr w:type="gramStart"/>
      <w:r w:rsidRPr="00360791">
        <w:rPr>
          <w:rFonts w:ascii="Arial" w:eastAsia="Times New Roman" w:hAnsi="Arial" w:cs="Arial"/>
          <w:color w:val="333333"/>
          <w:lang w:eastAsia="pt-BR"/>
        </w:rPr>
        <w:t>convertido anualmente em pecúnia, uma parcela de 30(trinta) dias equivalentes aos vencimentos mensais, aos servidores regidos pela LC</w:t>
      </w:r>
      <w:proofErr w:type="gramEnd"/>
      <w:r w:rsidRPr="00360791">
        <w:rPr>
          <w:rFonts w:ascii="Arial" w:eastAsia="Times New Roman" w:hAnsi="Arial" w:cs="Arial"/>
          <w:color w:val="333333"/>
          <w:lang w:eastAsia="pt-BR"/>
        </w:rPr>
        <w:t xml:space="preserve">. </w:t>
      </w:r>
      <w:proofErr w:type="gramStart"/>
      <w:r w:rsidRPr="00360791">
        <w:rPr>
          <w:rFonts w:ascii="Arial" w:eastAsia="Times New Roman" w:hAnsi="Arial" w:cs="Arial"/>
          <w:color w:val="333333"/>
          <w:lang w:eastAsia="pt-BR"/>
        </w:rPr>
        <w:t>nº</w:t>
      </w:r>
      <w:proofErr w:type="gramEnd"/>
      <w:r w:rsidRPr="00360791">
        <w:rPr>
          <w:rFonts w:ascii="Arial" w:eastAsia="Times New Roman" w:hAnsi="Arial" w:cs="Arial"/>
          <w:color w:val="333333"/>
          <w:lang w:eastAsia="pt-BR"/>
        </w:rPr>
        <w:t xml:space="preserve"> 1.080/08, dos Quadros das Secretarias de Estado, da Procuradoria Geral do Estado e das Autarquias, com exceção dos Quadro das Secretarias de Economia e Planejamento e da Fazenda, que se encontrem em efetivo exercício nas unidades desses órgãos e entidades, referentes aos blocos de períodos aquisitivos formados a partir de 18/12/08 data da vigência da LC. </w:t>
      </w:r>
      <w:proofErr w:type="gramStart"/>
      <w:r w:rsidRPr="00360791">
        <w:rPr>
          <w:rFonts w:ascii="Arial" w:eastAsia="Times New Roman" w:hAnsi="Arial" w:cs="Arial"/>
          <w:color w:val="333333"/>
          <w:lang w:eastAsia="pt-BR"/>
        </w:rPr>
        <w:t>nº</w:t>
      </w:r>
      <w:proofErr w:type="gramEnd"/>
      <w:r w:rsidRPr="00360791">
        <w:rPr>
          <w:rFonts w:ascii="Arial" w:eastAsia="Times New Roman" w:hAnsi="Arial" w:cs="Arial"/>
          <w:color w:val="333333"/>
          <w:lang w:eastAsia="pt-BR"/>
        </w:rPr>
        <w:t xml:space="preserve"> 1080/08.</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color w:val="333333"/>
          <w:lang w:eastAsia="pt-BR"/>
        </w:rPr>
        <w:t>Os servidores que ingressaram ou vierem a ingressar no serviço público estadual sob o regime estatutário</w:t>
      </w:r>
      <w:r w:rsidR="00BA4149">
        <w:rPr>
          <w:rFonts w:ascii="Arial" w:eastAsia="Times New Roman" w:hAnsi="Arial" w:cs="Arial"/>
          <w:color w:val="333333"/>
          <w:lang w:eastAsia="pt-BR"/>
        </w:rPr>
        <w:t xml:space="preserve"> </w:t>
      </w:r>
      <w:r w:rsidRPr="00360791">
        <w:rPr>
          <w:rFonts w:ascii="Arial" w:eastAsia="Times New Roman" w:hAnsi="Arial" w:cs="Arial"/>
          <w:b/>
          <w:bCs/>
          <w:color w:val="333333"/>
          <w:lang w:eastAsia="pt-BR"/>
        </w:rPr>
        <w:t>poderão contar para fins de licença-prêmio</w:t>
      </w:r>
      <w:r w:rsidRPr="00360791">
        <w:rPr>
          <w:rFonts w:ascii="Arial" w:eastAsia="Times New Roman" w:hAnsi="Arial" w:cs="Arial"/>
          <w:color w:val="333333"/>
          <w:lang w:eastAsia="pt-BR"/>
        </w:rPr>
        <w:t xml:space="preserve">, o tempo de serviço público prestado ao Estado ou suas autarquias, ainda que sob regime diverso, e que não contemplasse essa vantagem, com ou sem interrupção de exercício para ingressar no regime estatutário. A contagem fica </w:t>
      </w:r>
      <w:r w:rsidRPr="00360791">
        <w:rPr>
          <w:rFonts w:ascii="Arial" w:eastAsia="Times New Roman" w:hAnsi="Arial" w:cs="Arial"/>
          <w:color w:val="333333"/>
          <w:lang w:eastAsia="pt-BR"/>
        </w:rPr>
        <w:lastRenderedPageBreak/>
        <w:t xml:space="preserve">condicionada ao preenchimento dos requisitos exigidos pelos artigos 209 e 210 da Lei 10.261, de 28/10/68 e excluídos os períodos anteriores a 5/10/88 se houve a percepção de Gratificação de Natal ou 13º salário (Súmula 21 - </w:t>
      </w:r>
      <w:proofErr w:type="spellStart"/>
      <w:r w:rsidRPr="00360791">
        <w:rPr>
          <w:rFonts w:ascii="Arial" w:eastAsia="Times New Roman" w:hAnsi="Arial" w:cs="Arial"/>
          <w:color w:val="333333"/>
          <w:lang w:eastAsia="pt-BR"/>
        </w:rPr>
        <w:t>P.G.E.</w:t>
      </w:r>
      <w:proofErr w:type="spellEnd"/>
      <w:r w:rsidRPr="00360791">
        <w:rPr>
          <w:rFonts w:ascii="Arial" w:eastAsia="Times New Roman" w:hAnsi="Arial" w:cs="Arial"/>
          <w:color w:val="333333"/>
          <w:lang w:eastAsia="pt-BR"/>
        </w:rPr>
        <w:t xml:space="preserve"> - </w:t>
      </w:r>
      <w:proofErr w:type="spellStart"/>
      <w:r w:rsidRPr="00360791">
        <w:rPr>
          <w:rFonts w:ascii="Arial" w:eastAsia="Times New Roman" w:hAnsi="Arial" w:cs="Arial"/>
          <w:color w:val="333333"/>
          <w:lang w:eastAsia="pt-BR"/>
        </w:rPr>
        <w:t>D.O.E.</w:t>
      </w:r>
      <w:proofErr w:type="spellEnd"/>
      <w:r w:rsidRPr="00360791">
        <w:rPr>
          <w:rFonts w:ascii="Arial" w:eastAsia="Times New Roman" w:hAnsi="Arial" w:cs="Arial"/>
          <w:color w:val="333333"/>
          <w:lang w:eastAsia="pt-BR"/>
        </w:rPr>
        <w:t xml:space="preserve"> de 27/9/95).</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b/>
          <w:bCs/>
          <w:color w:val="333333"/>
          <w:lang w:eastAsia="pt-BR"/>
        </w:rPr>
        <w:t>Poderá ser contado</w:t>
      </w:r>
      <w:r w:rsidRPr="00360791">
        <w:rPr>
          <w:rFonts w:ascii="Arial" w:eastAsia="Times New Roman" w:hAnsi="Arial" w:cs="Arial"/>
          <w:color w:val="333333"/>
          <w:lang w:eastAsia="pt-BR"/>
        </w:rPr>
        <w:t>, também, para fins de licença-prêmio, o tempo de </w:t>
      </w:r>
      <w:r w:rsidRPr="00360791">
        <w:rPr>
          <w:rFonts w:ascii="Arial" w:eastAsia="Times New Roman" w:hAnsi="Arial" w:cs="Arial"/>
          <w:b/>
          <w:bCs/>
          <w:color w:val="333333"/>
          <w:lang w:eastAsia="pt-BR"/>
        </w:rPr>
        <w:t>serviço prestado até 20/12/84</w:t>
      </w:r>
      <w:r w:rsidRPr="00360791">
        <w:rPr>
          <w:rFonts w:ascii="Arial" w:eastAsia="Times New Roman" w:hAnsi="Arial" w:cs="Arial"/>
          <w:color w:val="333333"/>
          <w:lang w:eastAsia="pt-BR"/>
        </w:rPr>
        <w:t xml:space="preserve"> à União, outros Estados, Distrito Federal, Municípios e respectivas autarquias, desde que esse período não tenha propiciado a fruição dessa mesma vantagem junto àqueles entes públicos (Súmula 21 - </w:t>
      </w:r>
      <w:proofErr w:type="spellStart"/>
      <w:r w:rsidRPr="00360791">
        <w:rPr>
          <w:rFonts w:ascii="Arial" w:eastAsia="Times New Roman" w:hAnsi="Arial" w:cs="Arial"/>
          <w:color w:val="333333"/>
          <w:lang w:eastAsia="pt-BR"/>
        </w:rPr>
        <w:t>P.G.E.</w:t>
      </w:r>
      <w:proofErr w:type="spellEnd"/>
      <w:r w:rsidRPr="00360791">
        <w:rPr>
          <w:rFonts w:ascii="Arial" w:eastAsia="Times New Roman" w:hAnsi="Arial" w:cs="Arial"/>
          <w:color w:val="333333"/>
          <w:lang w:eastAsia="pt-BR"/>
        </w:rPr>
        <w:t xml:space="preserve"> - </w:t>
      </w:r>
      <w:proofErr w:type="spellStart"/>
      <w:r w:rsidRPr="00360791">
        <w:rPr>
          <w:rFonts w:ascii="Arial" w:eastAsia="Times New Roman" w:hAnsi="Arial" w:cs="Arial"/>
          <w:color w:val="333333"/>
          <w:lang w:eastAsia="pt-BR"/>
        </w:rPr>
        <w:t>D.O.E.</w:t>
      </w:r>
      <w:proofErr w:type="spellEnd"/>
      <w:r w:rsidRPr="00360791">
        <w:rPr>
          <w:rFonts w:ascii="Arial" w:eastAsia="Times New Roman" w:hAnsi="Arial" w:cs="Arial"/>
          <w:color w:val="333333"/>
          <w:lang w:eastAsia="pt-BR"/>
        </w:rPr>
        <w:t xml:space="preserve"> de 27/9/95).</w:t>
      </w:r>
    </w:p>
    <w:p w:rsidR="00360791" w:rsidRPr="00360791" w:rsidRDefault="00360791" w:rsidP="00360791">
      <w:pPr>
        <w:shd w:val="clear" w:color="auto" w:fill="FFFFFF"/>
        <w:spacing w:after="0"/>
        <w:jc w:val="both"/>
        <w:rPr>
          <w:rFonts w:ascii="Arial" w:eastAsia="Times New Roman" w:hAnsi="Arial" w:cs="Arial"/>
          <w:color w:val="333333"/>
          <w:lang w:eastAsia="pt-BR"/>
        </w:rPr>
      </w:pPr>
      <w:r w:rsidRPr="00360791">
        <w:rPr>
          <w:rFonts w:ascii="Arial" w:eastAsia="Times New Roman" w:hAnsi="Arial" w:cs="Arial"/>
          <w:color w:val="333333"/>
          <w:lang w:eastAsia="pt-BR"/>
        </w:rPr>
        <w:t>O aposentado que tenha sido nomeado para o cargo em comissão, poderá computar o tempo de serviço prestado no cargo no qual se aposentou (desde que esse tempo não tenha sido utilizado para fins de licença-prêmio) para completar o qüinqüênio aquisitivo, a ser gozada em decorrência do exercício de cargo em comissão. </w:t>
      </w:r>
      <w:r w:rsidRPr="00360791">
        <w:rPr>
          <w:rFonts w:ascii="Arial" w:eastAsia="Times New Roman" w:hAnsi="Arial" w:cs="Arial"/>
          <w:b/>
          <w:bCs/>
          <w:color w:val="333333"/>
          <w:lang w:eastAsia="pt-BR"/>
        </w:rPr>
        <w:t>É vedada a conversão em pecúnia dessa licença.</w:t>
      </w:r>
      <w:r w:rsidRPr="00360791">
        <w:rPr>
          <w:rFonts w:ascii="Arial" w:eastAsia="Times New Roman" w:hAnsi="Arial" w:cs="Arial"/>
          <w:color w:val="333333"/>
          <w:lang w:eastAsia="pt-BR"/>
        </w:rPr>
        <w:t> O servidor poderá somente usufruir a referida licença (</w:t>
      </w:r>
      <w:proofErr w:type="spellStart"/>
      <w:r w:rsidRPr="00360791">
        <w:rPr>
          <w:rFonts w:ascii="Arial" w:eastAsia="Times New Roman" w:hAnsi="Arial" w:cs="Arial"/>
          <w:color w:val="333333"/>
          <w:lang w:eastAsia="pt-BR"/>
        </w:rPr>
        <w:t>D.N.G.</w:t>
      </w:r>
      <w:proofErr w:type="spellEnd"/>
      <w:r w:rsidRPr="00360791">
        <w:rPr>
          <w:rFonts w:ascii="Arial" w:eastAsia="Times New Roman" w:hAnsi="Arial" w:cs="Arial"/>
          <w:color w:val="333333"/>
          <w:lang w:eastAsia="pt-BR"/>
        </w:rPr>
        <w:t xml:space="preserve"> de 3, </w:t>
      </w:r>
      <w:proofErr w:type="spellStart"/>
      <w:r w:rsidRPr="00360791">
        <w:rPr>
          <w:rFonts w:ascii="Arial" w:eastAsia="Times New Roman" w:hAnsi="Arial" w:cs="Arial"/>
          <w:color w:val="333333"/>
          <w:lang w:eastAsia="pt-BR"/>
        </w:rPr>
        <w:t>D.O.E.</w:t>
      </w:r>
      <w:proofErr w:type="spellEnd"/>
      <w:r w:rsidRPr="00360791">
        <w:rPr>
          <w:rFonts w:ascii="Arial" w:eastAsia="Times New Roman" w:hAnsi="Arial" w:cs="Arial"/>
          <w:color w:val="333333"/>
          <w:lang w:eastAsia="pt-BR"/>
        </w:rPr>
        <w:t xml:space="preserve"> de 04/04/74). </w:t>
      </w:r>
      <w:proofErr w:type="gramStart"/>
      <w:r w:rsidRPr="00360791">
        <w:rPr>
          <w:rFonts w:ascii="Arial" w:eastAsia="Times New Roman" w:hAnsi="Arial" w:cs="Arial"/>
          <w:i/>
          <w:iCs/>
          <w:color w:val="333333"/>
          <w:lang w:eastAsia="pt-BR"/>
        </w:rPr>
        <w:t>OBS :</w:t>
      </w:r>
      <w:proofErr w:type="gramEnd"/>
      <w:r w:rsidRPr="00360791">
        <w:rPr>
          <w:rFonts w:ascii="Arial" w:eastAsia="Times New Roman" w:hAnsi="Arial" w:cs="Arial"/>
          <w:i/>
          <w:iCs/>
          <w:color w:val="333333"/>
          <w:lang w:eastAsia="pt-BR"/>
        </w:rPr>
        <w:t xml:space="preserve"> Foi publicado no </w:t>
      </w:r>
      <w:proofErr w:type="spellStart"/>
      <w:r w:rsidRPr="00360791">
        <w:rPr>
          <w:rFonts w:ascii="Arial" w:eastAsia="Times New Roman" w:hAnsi="Arial" w:cs="Arial"/>
          <w:i/>
          <w:iCs/>
          <w:color w:val="333333"/>
          <w:lang w:eastAsia="pt-BR"/>
        </w:rPr>
        <w:t>D.O.E.</w:t>
      </w:r>
      <w:proofErr w:type="spellEnd"/>
      <w:r w:rsidRPr="00360791">
        <w:rPr>
          <w:rFonts w:ascii="Arial" w:eastAsia="Times New Roman" w:hAnsi="Arial" w:cs="Arial"/>
          <w:i/>
          <w:iCs/>
          <w:color w:val="333333"/>
          <w:lang w:eastAsia="pt-BR"/>
        </w:rPr>
        <w:t xml:space="preserve"> </w:t>
      </w:r>
      <w:proofErr w:type="gramStart"/>
      <w:r w:rsidRPr="00360791">
        <w:rPr>
          <w:rFonts w:ascii="Arial" w:eastAsia="Times New Roman" w:hAnsi="Arial" w:cs="Arial"/>
          <w:i/>
          <w:iCs/>
          <w:color w:val="333333"/>
          <w:lang w:eastAsia="pt-BR"/>
        </w:rPr>
        <w:t>de</w:t>
      </w:r>
      <w:proofErr w:type="gramEnd"/>
      <w:r w:rsidRPr="00360791">
        <w:rPr>
          <w:rFonts w:ascii="Arial" w:eastAsia="Times New Roman" w:hAnsi="Arial" w:cs="Arial"/>
          <w:i/>
          <w:iCs/>
          <w:color w:val="333333"/>
          <w:lang w:eastAsia="pt-BR"/>
        </w:rPr>
        <w:t xml:space="preserve"> 16/10/2001, o Despacho do Governador, de 15/10/2001, que veio confirmar o teor do </w:t>
      </w:r>
      <w:proofErr w:type="spellStart"/>
      <w:r w:rsidRPr="00360791">
        <w:rPr>
          <w:rFonts w:ascii="Arial" w:eastAsia="Times New Roman" w:hAnsi="Arial" w:cs="Arial"/>
          <w:i/>
          <w:iCs/>
          <w:color w:val="333333"/>
          <w:lang w:eastAsia="pt-BR"/>
        </w:rPr>
        <w:t>D.N.G.</w:t>
      </w:r>
      <w:proofErr w:type="spellEnd"/>
      <w:r w:rsidRPr="00360791">
        <w:rPr>
          <w:rFonts w:ascii="Arial" w:eastAsia="Times New Roman" w:hAnsi="Arial" w:cs="Arial"/>
          <w:i/>
          <w:iCs/>
          <w:color w:val="333333"/>
          <w:lang w:eastAsia="pt-BR"/>
        </w:rPr>
        <w:t xml:space="preserve"> de 3, </w:t>
      </w:r>
      <w:proofErr w:type="spellStart"/>
      <w:r w:rsidRPr="00360791">
        <w:rPr>
          <w:rFonts w:ascii="Arial" w:eastAsia="Times New Roman" w:hAnsi="Arial" w:cs="Arial"/>
          <w:i/>
          <w:iCs/>
          <w:color w:val="333333"/>
          <w:lang w:eastAsia="pt-BR"/>
        </w:rPr>
        <w:t>D.O.E.</w:t>
      </w:r>
      <w:proofErr w:type="spellEnd"/>
      <w:r w:rsidRPr="00360791">
        <w:rPr>
          <w:rFonts w:ascii="Arial" w:eastAsia="Times New Roman" w:hAnsi="Arial" w:cs="Arial"/>
          <w:i/>
          <w:iCs/>
          <w:color w:val="333333"/>
          <w:lang w:eastAsia="pt-BR"/>
        </w:rPr>
        <w:t xml:space="preserve"> </w:t>
      </w:r>
      <w:proofErr w:type="gramStart"/>
      <w:r w:rsidRPr="00360791">
        <w:rPr>
          <w:rFonts w:ascii="Arial" w:eastAsia="Times New Roman" w:hAnsi="Arial" w:cs="Arial"/>
          <w:i/>
          <w:iCs/>
          <w:color w:val="333333"/>
          <w:lang w:eastAsia="pt-BR"/>
        </w:rPr>
        <w:t>de</w:t>
      </w:r>
      <w:proofErr w:type="gramEnd"/>
      <w:r w:rsidRPr="00360791">
        <w:rPr>
          <w:rFonts w:ascii="Arial" w:eastAsia="Times New Roman" w:hAnsi="Arial" w:cs="Arial"/>
          <w:i/>
          <w:iCs/>
          <w:color w:val="333333"/>
          <w:lang w:eastAsia="pt-BR"/>
        </w:rPr>
        <w:t xml:space="preserve"> 04/04/74, na parte em que se reconheceu não haver óbice legal ao cômputo do tempo de serviço prestado pelo aposentado no cargo (ou função) em que se aposentou no serviço público estadual, para perfazimento do qüinqüênio aquisitivo de licença-prêmio a ser gozada em decorrência de nova investidura em cargo público estadual.</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Cabe ao órgão de recursos humanos responsável, cientificar o servidor e seu superior dos períodos de licença-prêmio concedidos, de forma a garantir o gozo dos mesmos, antes da passagem do servidor à inatividade. Concedida a aposentadoria ao servidor, fica caracterizada renúncia aos períodos de licença-prêmio concedidos e não gozados até esta data.</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xml:space="preserve">Os dias remanescentes relativos à licença-prêmio, cujo gozo veio a ser </w:t>
      </w:r>
      <w:proofErr w:type="gramStart"/>
      <w:r w:rsidRPr="00360791">
        <w:rPr>
          <w:rFonts w:ascii="Arial" w:eastAsia="Times New Roman" w:hAnsi="Arial" w:cs="Arial"/>
          <w:color w:val="333333"/>
          <w:lang w:eastAsia="pt-BR"/>
        </w:rPr>
        <w:t>interrompido em face da concessão de licença-gestante e/ou licença</w:t>
      </w:r>
      <w:proofErr w:type="gramEnd"/>
      <w:r w:rsidRPr="00360791">
        <w:rPr>
          <w:rFonts w:ascii="Arial" w:eastAsia="Times New Roman" w:hAnsi="Arial" w:cs="Arial"/>
          <w:color w:val="333333"/>
          <w:lang w:eastAsia="pt-BR"/>
        </w:rPr>
        <w:t xml:space="preserve"> para tratamento de saúde, poderão ser usufruídos oportunamente, observada a prescrição qüinqüenal.</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O ocupante do cargo de Secretário Adjunto não é Agente Político, mas servidor público. Nessas circunstâncias, são aplicáveis aos Secretários Adjuntos todas as disposições constitucionais e estatutárias atinentes aos funcionários públicos ocupantes de cargos em comissão, inclusive as relativas a férias e licença-prêmio (LC-802/95 - Parecer PA-3 nº 083/2002).</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O servidor designado para exercer função de chefia ou de direção, de acordo com o § 3º do artigo 28 da Lei nº 10.168, de 10/07/68, alterado pelo Decreto-Lei nº 92, de 06/06/69, com nova redação dada pela LC. 975/05, ao usufruir períodos de licenças-prêmio não perderá o direito a perceber o "pro labore".</w:t>
      </w:r>
    </w:p>
    <w:p w:rsidR="00360791" w:rsidRPr="00360791" w:rsidRDefault="00360791" w:rsidP="00360791">
      <w:pPr>
        <w:shd w:val="clear" w:color="auto" w:fill="FFFFFF"/>
        <w:spacing w:after="0"/>
        <w:jc w:val="both"/>
        <w:rPr>
          <w:rFonts w:ascii="Arial" w:eastAsia="Times New Roman" w:hAnsi="Arial" w:cs="Arial"/>
          <w:color w:val="333333"/>
          <w:lang w:eastAsia="pt-BR"/>
        </w:rPr>
      </w:pPr>
      <w:proofErr w:type="spellStart"/>
      <w:r w:rsidRPr="00360791">
        <w:rPr>
          <w:rFonts w:ascii="Arial" w:eastAsia="Times New Roman" w:hAnsi="Arial" w:cs="Arial"/>
          <w:b/>
          <w:bCs/>
          <w:color w:val="333333"/>
          <w:lang w:eastAsia="pt-BR"/>
        </w:rPr>
        <w:t>Obs</w:t>
      </w:r>
      <w:proofErr w:type="spellEnd"/>
      <w:r w:rsidRPr="00360791">
        <w:rPr>
          <w:rFonts w:ascii="Arial" w:eastAsia="Times New Roman" w:hAnsi="Arial" w:cs="Arial"/>
          <w:b/>
          <w:bCs/>
          <w:color w:val="333333"/>
          <w:lang w:eastAsia="pt-BR"/>
        </w:rPr>
        <w:t>:</w:t>
      </w:r>
      <w:r w:rsidRPr="00360791">
        <w:rPr>
          <w:rFonts w:ascii="Arial" w:eastAsia="Times New Roman" w:hAnsi="Arial" w:cs="Arial"/>
          <w:color w:val="333333"/>
          <w:lang w:eastAsia="pt-BR"/>
        </w:rPr>
        <w:t> O servidor temporário (Lei 500/74) tendo ou não adquirido a estabilidade prevista no artigo 19 do ADCT da CF/88 e art. 18 do ADCT da CE/89, obteve direito à licença-prêmio por intermédio do Despacho Normativo do Governador de 22/11/11.</w:t>
      </w:r>
    </w:p>
    <w:p w:rsidR="00360791" w:rsidRPr="00360791" w:rsidRDefault="00360791" w:rsidP="00360791">
      <w:pPr>
        <w:shd w:val="clear" w:color="auto" w:fill="FFFFFF"/>
        <w:spacing w:before="200" w:after="0"/>
        <w:jc w:val="both"/>
        <w:rPr>
          <w:rFonts w:ascii="Arial" w:eastAsia="Times New Roman" w:hAnsi="Arial" w:cs="Arial"/>
          <w:color w:val="333333"/>
          <w:lang w:eastAsia="pt-BR"/>
        </w:rPr>
      </w:pPr>
      <w:r w:rsidRPr="00360791">
        <w:rPr>
          <w:rFonts w:ascii="Arial" w:eastAsia="Times New Roman" w:hAnsi="Arial" w:cs="Arial"/>
          <w:color w:val="333333"/>
          <w:lang w:eastAsia="pt-BR"/>
        </w:rPr>
        <w:t> </w:t>
      </w:r>
    </w:p>
    <w:p w:rsidR="00360791" w:rsidRPr="00360791" w:rsidRDefault="00360791" w:rsidP="00360791">
      <w:pPr>
        <w:shd w:val="clear" w:color="auto" w:fill="FFFFFF"/>
        <w:spacing w:after="0"/>
        <w:jc w:val="both"/>
        <w:rPr>
          <w:rFonts w:ascii="Arial" w:eastAsia="Times New Roman" w:hAnsi="Arial" w:cs="Arial"/>
          <w:color w:val="333333"/>
          <w:lang w:eastAsia="pt-BR"/>
        </w:rPr>
      </w:pPr>
      <w:proofErr w:type="spellStart"/>
      <w:r w:rsidRPr="00360791">
        <w:rPr>
          <w:rFonts w:ascii="Arial" w:eastAsia="Times New Roman" w:hAnsi="Arial" w:cs="Arial"/>
          <w:b/>
          <w:bCs/>
          <w:i/>
          <w:iCs/>
          <w:color w:val="333333"/>
          <w:lang w:eastAsia="pt-BR"/>
        </w:rPr>
        <w:t>Obs</w:t>
      </w:r>
      <w:proofErr w:type="spellEnd"/>
      <w:r w:rsidRPr="00360791">
        <w:rPr>
          <w:rFonts w:ascii="Arial" w:eastAsia="Times New Roman" w:hAnsi="Arial" w:cs="Arial"/>
          <w:b/>
          <w:bCs/>
          <w:i/>
          <w:iCs/>
          <w:color w:val="333333"/>
          <w:lang w:eastAsia="pt-BR"/>
        </w:rPr>
        <w:t xml:space="preserve">: O </w:t>
      </w:r>
      <w:proofErr w:type="spellStart"/>
      <w:r w:rsidRPr="00360791">
        <w:rPr>
          <w:rFonts w:ascii="Arial" w:eastAsia="Times New Roman" w:hAnsi="Arial" w:cs="Arial"/>
          <w:b/>
          <w:bCs/>
          <w:i/>
          <w:iCs/>
          <w:color w:val="333333"/>
          <w:lang w:eastAsia="pt-BR"/>
        </w:rPr>
        <w:t>contéudo</w:t>
      </w:r>
      <w:proofErr w:type="spellEnd"/>
      <w:r w:rsidRPr="00360791">
        <w:rPr>
          <w:rFonts w:ascii="Arial" w:eastAsia="Times New Roman" w:hAnsi="Arial" w:cs="Arial"/>
          <w:b/>
          <w:bCs/>
          <w:i/>
          <w:iCs/>
          <w:color w:val="333333"/>
          <w:lang w:eastAsia="pt-BR"/>
        </w:rPr>
        <w:t xml:space="preserve"> deste manual não substitui a publicação original da legislação, tendo caráter meramente informativo.</w:t>
      </w:r>
    </w:p>
    <w:p w:rsidR="00360791" w:rsidRPr="000F6C5C" w:rsidRDefault="00360791" w:rsidP="00360791">
      <w:pPr>
        <w:spacing w:after="0"/>
        <w:jc w:val="both"/>
      </w:pPr>
    </w:p>
    <w:p w:rsidR="00BA4149" w:rsidRPr="00360791" w:rsidRDefault="00BA4149" w:rsidP="00360791">
      <w:pPr>
        <w:spacing w:after="0"/>
        <w:jc w:val="both"/>
      </w:pPr>
    </w:p>
    <w:sectPr w:rsidR="00BA4149" w:rsidRPr="00360791" w:rsidSect="00927541">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61687"/>
    <w:multiLevelType w:val="multilevel"/>
    <w:tmpl w:val="8DD6D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46696"/>
    <w:multiLevelType w:val="hybridMultilevel"/>
    <w:tmpl w:val="B4D6F4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791"/>
    <w:rsid w:val="000F6C5C"/>
    <w:rsid w:val="00360791"/>
    <w:rsid w:val="003B108D"/>
    <w:rsid w:val="003E6965"/>
    <w:rsid w:val="006A27B9"/>
    <w:rsid w:val="00927541"/>
    <w:rsid w:val="00B4247C"/>
    <w:rsid w:val="00B42E0C"/>
    <w:rsid w:val="00BA4149"/>
    <w:rsid w:val="00C71D5B"/>
    <w:rsid w:val="00D277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65"/>
  </w:style>
  <w:style w:type="paragraph" w:styleId="Ttulo1">
    <w:name w:val="heading 1"/>
    <w:basedOn w:val="Normal"/>
    <w:link w:val="Ttulo1Char"/>
    <w:uiPriority w:val="9"/>
    <w:qFormat/>
    <w:rsid w:val="00360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079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607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60791"/>
  </w:style>
  <w:style w:type="character" w:styleId="Forte">
    <w:name w:val="Strong"/>
    <w:basedOn w:val="Fontepargpadro"/>
    <w:uiPriority w:val="22"/>
    <w:qFormat/>
    <w:rsid w:val="00360791"/>
    <w:rPr>
      <w:b/>
      <w:bCs/>
    </w:rPr>
  </w:style>
  <w:style w:type="paragraph" w:styleId="PargrafodaLista">
    <w:name w:val="List Paragraph"/>
    <w:basedOn w:val="Normal"/>
    <w:uiPriority w:val="34"/>
    <w:qFormat/>
    <w:rsid w:val="00360791"/>
    <w:pPr>
      <w:ind w:left="720"/>
      <w:contextualSpacing/>
    </w:pPr>
  </w:style>
  <w:style w:type="character" w:styleId="Hyperlink">
    <w:name w:val="Hyperlink"/>
    <w:basedOn w:val="Fontepargpadro"/>
    <w:uiPriority w:val="99"/>
    <w:unhideWhenUsed/>
    <w:rsid w:val="00BA4149"/>
    <w:rPr>
      <w:color w:val="0000FF" w:themeColor="hyperlink"/>
      <w:u w:val="single"/>
    </w:rPr>
  </w:style>
  <w:style w:type="table" w:styleId="Tabelacomgrade">
    <w:name w:val="Table Grid"/>
    <w:basedOn w:val="Tabelanormal"/>
    <w:uiPriority w:val="59"/>
    <w:rsid w:val="00B42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103221">
      <w:bodyDiv w:val="1"/>
      <w:marLeft w:val="0"/>
      <w:marRight w:val="0"/>
      <w:marTop w:val="0"/>
      <w:marBottom w:val="0"/>
      <w:divBdr>
        <w:top w:val="none" w:sz="0" w:space="0" w:color="auto"/>
        <w:left w:val="none" w:sz="0" w:space="0" w:color="auto"/>
        <w:bottom w:val="none" w:sz="0" w:space="0" w:color="auto"/>
        <w:right w:val="none" w:sz="0" w:space="0" w:color="auto"/>
      </w:divBdr>
    </w:div>
    <w:div w:id="16011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ursoshumanos.sp.gov.br/manualPremio.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33C8AF8FFF42448BB567E425F4C074" ma:contentTypeVersion="5" ma:contentTypeDescription="Crie um novo documento." ma:contentTypeScope="" ma:versionID="39aad5713c30314bba54c79ac16ea6f9">
  <xsd:schema xmlns:xsd="http://www.w3.org/2001/XMLSchema" xmlns:xs="http://www.w3.org/2001/XMLSchema" xmlns:p="http://schemas.microsoft.com/office/2006/metadata/properties" xmlns:ns2="5433e1a2-8182-400c-ae38-09b19265ee67" targetNamespace="http://schemas.microsoft.com/office/2006/metadata/properties" ma:root="true" ma:fieldsID="bd673c13fe9cfd00f7b886c29c7510f6" ns2:_="">
    <xsd:import namespace="5433e1a2-8182-400c-ae38-09b19265ee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e1a2-8182-400c-ae38-09b19265ee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element name="LastSharedByUser" ma:index="11" nillable="true" ma:displayName="Último Compartilhamento Por Usuário" ma:description="" ma:internalName="LastSharedByUser" ma:readOnly="true">
      <xsd:simpleType>
        <xsd:restriction base="dms:Note">
          <xsd:maxLength value="255"/>
        </xsd:restriction>
      </xsd:simpleType>
    </xsd:element>
    <xsd:element name="LastSharedByTime" ma:index="12"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1E57-8C2F-4563-986E-9954BD8CC5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58390-DB91-4486-BEFB-B6046CFBCA33}">
  <ds:schemaRefs>
    <ds:schemaRef ds:uri="http://schemas.microsoft.com/sharepoint/v3/contenttype/forms"/>
  </ds:schemaRefs>
</ds:datastoreItem>
</file>

<file path=customXml/itemProps3.xml><?xml version="1.0" encoding="utf-8"?>
<ds:datastoreItem xmlns:ds="http://schemas.openxmlformats.org/officeDocument/2006/customXml" ds:itemID="{3956DA8A-2AC4-4416-91BF-49C977C7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3e1a2-8182-400c-ae38-09b19265e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FDE</cp:lastModifiedBy>
  <cp:revision>2</cp:revision>
  <dcterms:created xsi:type="dcterms:W3CDTF">2017-01-13T12:27:00Z</dcterms:created>
  <dcterms:modified xsi:type="dcterms:W3CDTF">2017-01-13T12:27:00Z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0x0101003533C8AF8FFF42448BB567E425F4C074</vt:lpwstr>
  </property>
</Properties>
</file>